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16" w:rsidRPr="00334471" w:rsidRDefault="003C0A16">
      <w:pPr>
        <w:rPr>
          <w:b/>
          <w:sz w:val="24"/>
          <w:szCs w:val="24"/>
        </w:rPr>
      </w:pPr>
      <w:r w:rsidRPr="00334471">
        <w:rPr>
          <w:b/>
          <w:sz w:val="24"/>
          <w:szCs w:val="24"/>
        </w:rPr>
        <w:t>Assessment Conditions</w:t>
      </w:r>
      <w:r w:rsidR="0034288A">
        <w:rPr>
          <w:b/>
          <w:sz w:val="24"/>
          <w:szCs w:val="24"/>
        </w:rPr>
        <w:t xml:space="preserve"> </w:t>
      </w:r>
      <w:r w:rsidRPr="00334471">
        <w:rPr>
          <w:b/>
          <w:sz w:val="24"/>
          <w:szCs w:val="24"/>
        </w:rPr>
        <w:t>Activity</w:t>
      </w:r>
    </w:p>
    <w:p w:rsidR="0034288A" w:rsidRPr="0034288A" w:rsidRDefault="0034288A">
      <w:pPr>
        <w:rPr>
          <w:b/>
          <w:sz w:val="24"/>
          <w:szCs w:val="24"/>
        </w:rPr>
      </w:pPr>
      <w:r w:rsidRPr="0034288A">
        <w:rPr>
          <w:b/>
          <w:sz w:val="24"/>
          <w:szCs w:val="24"/>
        </w:rPr>
        <w:t xml:space="preserve">This activity </w:t>
      </w:r>
      <w:r>
        <w:rPr>
          <w:b/>
          <w:sz w:val="24"/>
          <w:szCs w:val="24"/>
        </w:rPr>
        <w:t>is part of the</w:t>
      </w:r>
      <w:r w:rsidRPr="0034288A">
        <w:rPr>
          <w:b/>
          <w:sz w:val="24"/>
          <w:szCs w:val="24"/>
        </w:rPr>
        <w:t xml:space="preserve"> presentation </w:t>
      </w:r>
      <w:r>
        <w:rPr>
          <w:b/>
          <w:sz w:val="24"/>
          <w:szCs w:val="24"/>
        </w:rPr>
        <w:t>‘</w:t>
      </w:r>
      <w:r w:rsidRPr="0034288A">
        <w:rPr>
          <w:b/>
          <w:sz w:val="24"/>
          <w:szCs w:val="24"/>
        </w:rPr>
        <w:t>Assessment Conditions Audio 2016</w:t>
      </w:r>
      <w:r>
        <w:rPr>
          <w:b/>
          <w:sz w:val="24"/>
          <w:szCs w:val="24"/>
        </w:rPr>
        <w:t>’</w:t>
      </w:r>
      <w:r w:rsidRPr="003428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The answers are in the presentation.</w:t>
      </w:r>
    </w:p>
    <w:p w:rsidR="003C0A16" w:rsidRPr="00334471" w:rsidRDefault="003C0A16">
      <w:pPr>
        <w:rPr>
          <w:sz w:val="24"/>
          <w:szCs w:val="24"/>
        </w:rPr>
      </w:pPr>
      <w:r w:rsidRPr="00334471">
        <w:rPr>
          <w:sz w:val="24"/>
          <w:szCs w:val="24"/>
        </w:rPr>
        <w:t>For this part of the activity, match each statem</w:t>
      </w:r>
      <w:bookmarkStart w:id="0" w:name="_GoBack"/>
      <w:bookmarkEnd w:id="0"/>
      <w:r w:rsidRPr="00334471">
        <w:rPr>
          <w:sz w:val="24"/>
          <w:szCs w:val="24"/>
        </w:rPr>
        <w:t xml:space="preserve">ent with the corresponding assessment condition.  Each statement has been allocated a number and you should insert the number or numbers relating to the assessment condition in the box.  All assessment conditions and statements </w:t>
      </w:r>
      <w:proofErr w:type="gramStart"/>
      <w:r w:rsidRPr="00334471">
        <w:rPr>
          <w:sz w:val="24"/>
          <w:szCs w:val="24"/>
        </w:rPr>
        <w:t>have been sourced</w:t>
      </w:r>
      <w:proofErr w:type="gramEnd"/>
      <w:r w:rsidRPr="00334471">
        <w:rPr>
          <w:sz w:val="24"/>
          <w:szCs w:val="24"/>
        </w:rPr>
        <w:t xml:space="preserve"> from SQA Guide to Assessment (July 2015)</w:t>
      </w:r>
      <w:r w:rsidR="0034288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1134"/>
        <w:gridCol w:w="1416"/>
        <w:gridCol w:w="565"/>
        <w:gridCol w:w="8246"/>
      </w:tblGrid>
      <w:tr w:rsidR="004C3A8B" w:rsidRPr="00334471" w:rsidTr="00E6054A">
        <w:tc>
          <w:tcPr>
            <w:tcW w:w="2614" w:type="dxa"/>
            <w:tcBorders>
              <w:bottom w:val="single" w:sz="4" w:space="0" w:color="auto"/>
            </w:tcBorders>
          </w:tcPr>
          <w:p w:rsidR="004C3A8B" w:rsidRPr="00334471" w:rsidRDefault="004C3A8B">
            <w:pPr>
              <w:rPr>
                <w:b/>
                <w:sz w:val="24"/>
                <w:szCs w:val="24"/>
              </w:rPr>
            </w:pPr>
            <w:r w:rsidRPr="00334471">
              <w:rPr>
                <w:b/>
                <w:sz w:val="24"/>
                <w:szCs w:val="24"/>
              </w:rPr>
              <w:t>Assessment Condition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B" w:rsidRPr="00334471" w:rsidRDefault="004C3A8B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8B" w:rsidRPr="00334471" w:rsidRDefault="004C3A8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A8B" w:rsidRPr="00334471" w:rsidRDefault="004C3A8B">
            <w:pPr>
              <w:rPr>
                <w:b/>
                <w:sz w:val="24"/>
                <w:szCs w:val="24"/>
              </w:rPr>
            </w:pP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4C3A8B" w:rsidRPr="00334471" w:rsidRDefault="004C3A8B">
            <w:pPr>
              <w:rPr>
                <w:b/>
                <w:sz w:val="24"/>
                <w:szCs w:val="24"/>
              </w:rPr>
            </w:pPr>
            <w:r w:rsidRPr="00334471">
              <w:rPr>
                <w:b/>
                <w:sz w:val="24"/>
                <w:szCs w:val="24"/>
              </w:rPr>
              <w:t>Definition statement</w:t>
            </w:r>
          </w:p>
        </w:tc>
      </w:tr>
      <w:tr w:rsidR="004C3A8B" w:rsidRPr="00334471" w:rsidTr="00E605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Open book</w:t>
            </w:r>
          </w:p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A8B" w:rsidRPr="00334471" w:rsidRDefault="00C16F0B" w:rsidP="00C16F0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1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4C3A8B" w:rsidRPr="00334471" w:rsidRDefault="00A21019" w:rsidP="00A21019">
            <w:pPr>
              <w:ind w:left="33"/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Controlled conditions must be supervised</w:t>
            </w:r>
          </w:p>
        </w:tc>
      </w:tr>
      <w:tr w:rsidR="004C3A8B" w:rsidRPr="00334471" w:rsidTr="00E6054A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B" w:rsidRPr="00334471" w:rsidRDefault="00C16F0B" w:rsidP="00C16F0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2</w:t>
            </w:r>
          </w:p>
        </w:tc>
        <w:tc>
          <w:tcPr>
            <w:tcW w:w="8396" w:type="dxa"/>
            <w:tcBorders>
              <w:left w:val="single" w:sz="4" w:space="0" w:color="auto"/>
              <w:bottom w:val="single" w:sz="4" w:space="0" w:color="auto"/>
            </w:tcBorders>
          </w:tcPr>
          <w:p w:rsidR="004C3A8B" w:rsidRPr="00334471" w:rsidRDefault="00A21019" w:rsidP="004C3A8B">
            <w:pPr>
              <w:ind w:left="33"/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Assessment is undertaken in a supervised environment.</w:t>
            </w:r>
          </w:p>
        </w:tc>
      </w:tr>
      <w:tr w:rsidR="00E6054A" w:rsidRPr="00334471" w:rsidTr="00EB3563">
        <w:tc>
          <w:tcPr>
            <w:tcW w:w="2614" w:type="dxa"/>
            <w:vMerge w:val="restart"/>
            <w:tcBorders>
              <w:top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Closed book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3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Open-book conditions may be supervised or may be undertaken in the candidate’s own time.</w:t>
            </w:r>
          </w:p>
        </w:tc>
      </w:tr>
      <w:tr w:rsidR="00E6054A" w:rsidRPr="00334471" w:rsidTr="00E6054A">
        <w:tc>
          <w:tcPr>
            <w:tcW w:w="2614" w:type="dxa"/>
            <w:vMerge/>
            <w:tcBorders>
              <w:bottom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4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In all cases, candidates must be informed of time allocation for the assessment</w:t>
            </w:r>
          </w:p>
        </w:tc>
      </w:tr>
      <w:tr w:rsidR="00E6054A" w:rsidRPr="00334471" w:rsidTr="00D077AD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Supervision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5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Closed-book conditions for internally-assessed Outcomes/ Units must always be supervised</w:t>
            </w:r>
          </w:p>
        </w:tc>
      </w:tr>
      <w:tr w:rsidR="00E6054A" w:rsidRPr="00334471" w:rsidTr="00E6054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6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Candidates are given the task in advance and informed of any time constraints or restrictions in their preparation for the assessment.</w:t>
            </w:r>
          </w:p>
        </w:tc>
      </w:tr>
      <w:tr w:rsidR="00E6054A" w:rsidRPr="00334471" w:rsidTr="00577CEF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Controlled conditions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7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E6054A" w:rsidRPr="00334471" w:rsidRDefault="00E6054A" w:rsidP="00A21019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Details of the type and amount of permitted materials must be provided in the Unit Specification/ Assessment Strategy.</w:t>
            </w:r>
          </w:p>
        </w:tc>
      </w:tr>
      <w:tr w:rsidR="00E6054A" w:rsidRPr="00334471" w:rsidTr="00577CEF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A" w:rsidRPr="00334471" w:rsidRDefault="00E605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6054A" w:rsidRPr="00334471" w:rsidRDefault="00E6054A" w:rsidP="004C3A8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8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E6054A" w:rsidRPr="00334471" w:rsidRDefault="00E6054A" w:rsidP="004C3A8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Candidates may be allowed access to prescribed resources, including their own notes, during the assessment which may take the form of a ‘write-up’ or a practical task</w:t>
            </w:r>
            <w:proofErr w:type="gramStart"/>
            <w:r w:rsidRPr="00334471">
              <w:rPr>
                <w:sz w:val="24"/>
                <w:szCs w:val="24"/>
              </w:rPr>
              <w:t>..</w:t>
            </w:r>
            <w:proofErr w:type="gramEnd"/>
            <w:r w:rsidRPr="00334471">
              <w:rPr>
                <w:sz w:val="24"/>
                <w:szCs w:val="24"/>
              </w:rPr>
              <w:t xml:space="preserve"> </w:t>
            </w:r>
          </w:p>
        </w:tc>
      </w:tr>
      <w:tr w:rsidR="004C3A8B" w:rsidRPr="00334471" w:rsidTr="00E6054A"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A8B" w:rsidRPr="00334471" w:rsidRDefault="00C16F0B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9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4C3A8B" w:rsidRPr="00334471" w:rsidRDefault="00A21019" w:rsidP="00A21019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No materials, other than the assessment itself are permitted.</w:t>
            </w:r>
          </w:p>
        </w:tc>
      </w:tr>
      <w:tr w:rsidR="004C3A8B" w:rsidRPr="00334471" w:rsidTr="00A21019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A8B" w:rsidRPr="00334471" w:rsidRDefault="004C3A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A8B" w:rsidRPr="00334471" w:rsidRDefault="00C16F0B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10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4C3A8B" w:rsidRPr="00334471" w:rsidRDefault="00A21019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Candidates are permitted access to materials. Permitted materials may include candidate notes, texts or other approved source of information.</w:t>
            </w:r>
          </w:p>
        </w:tc>
      </w:tr>
      <w:tr w:rsidR="00C16F0B" w:rsidRPr="00334471" w:rsidTr="00A21019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16F0B" w:rsidRPr="00334471" w:rsidRDefault="00C16F0B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16F0B" w:rsidRPr="00334471" w:rsidRDefault="00C16F0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F0B" w:rsidRPr="00334471" w:rsidRDefault="00C16F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6F0B" w:rsidRPr="00334471" w:rsidRDefault="00C16F0B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11</w:t>
            </w:r>
          </w:p>
        </w:tc>
        <w:tc>
          <w:tcPr>
            <w:tcW w:w="8396" w:type="dxa"/>
            <w:tcBorders>
              <w:left w:val="single" w:sz="4" w:space="0" w:color="auto"/>
            </w:tcBorders>
          </w:tcPr>
          <w:p w:rsidR="00C16F0B" w:rsidRPr="00334471" w:rsidRDefault="00C16F0B" w:rsidP="003C0A16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The oversight of Unit internal assessments being undertaken at a specified time by candidates</w:t>
            </w:r>
          </w:p>
        </w:tc>
      </w:tr>
    </w:tbl>
    <w:p w:rsidR="00653498" w:rsidRDefault="00653498">
      <w:r>
        <w:br w:type="page"/>
      </w:r>
    </w:p>
    <w:p w:rsidR="003C0A16" w:rsidRPr="00334471" w:rsidRDefault="00653498">
      <w:pPr>
        <w:rPr>
          <w:b/>
          <w:sz w:val="24"/>
          <w:szCs w:val="24"/>
        </w:rPr>
      </w:pPr>
      <w:r w:rsidRPr="00334471">
        <w:rPr>
          <w:b/>
          <w:sz w:val="24"/>
          <w:szCs w:val="24"/>
        </w:rPr>
        <w:lastRenderedPageBreak/>
        <w:t>Activity</w:t>
      </w:r>
    </w:p>
    <w:p w:rsidR="00653498" w:rsidRPr="00334471" w:rsidRDefault="00653498">
      <w:pPr>
        <w:rPr>
          <w:sz w:val="24"/>
          <w:szCs w:val="24"/>
        </w:rPr>
      </w:pPr>
      <w:r w:rsidRPr="00334471">
        <w:rPr>
          <w:sz w:val="24"/>
          <w:szCs w:val="24"/>
        </w:rPr>
        <w:t>For this part of the activity, the potential challenges facing you as a lecturer should be considered.  You should also consider possible solutions to the challenges you may face.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007"/>
        <w:gridCol w:w="5812"/>
      </w:tblGrid>
      <w:tr w:rsidR="00653498" w:rsidRPr="00334471" w:rsidTr="00653498">
        <w:tc>
          <w:tcPr>
            <w:tcW w:w="2614" w:type="dxa"/>
          </w:tcPr>
          <w:p w:rsidR="00653498" w:rsidRPr="00334471" w:rsidRDefault="00653498" w:rsidP="00E4537B">
            <w:pPr>
              <w:rPr>
                <w:b/>
                <w:sz w:val="24"/>
                <w:szCs w:val="24"/>
              </w:rPr>
            </w:pPr>
            <w:r w:rsidRPr="00334471">
              <w:rPr>
                <w:b/>
                <w:sz w:val="24"/>
                <w:szCs w:val="24"/>
              </w:rPr>
              <w:t>Assessment Condition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b/>
                <w:sz w:val="24"/>
                <w:szCs w:val="24"/>
              </w:rPr>
            </w:pPr>
            <w:r w:rsidRPr="00334471">
              <w:rPr>
                <w:b/>
                <w:sz w:val="24"/>
                <w:szCs w:val="24"/>
              </w:rPr>
              <w:t>Potential challenge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b/>
                <w:sz w:val="24"/>
                <w:szCs w:val="24"/>
              </w:rPr>
            </w:pPr>
            <w:r w:rsidRPr="00334471">
              <w:rPr>
                <w:b/>
                <w:sz w:val="24"/>
                <w:szCs w:val="24"/>
              </w:rPr>
              <w:t>Suggested solutions</w:t>
            </w:r>
          </w:p>
        </w:tc>
      </w:tr>
      <w:tr w:rsidR="00653498" w:rsidRPr="00334471" w:rsidTr="00653498">
        <w:tc>
          <w:tcPr>
            <w:tcW w:w="2614" w:type="dxa"/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Open book</w:t>
            </w: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</w:tr>
      <w:tr w:rsidR="00653498" w:rsidRPr="00334471" w:rsidTr="00653498">
        <w:tc>
          <w:tcPr>
            <w:tcW w:w="2614" w:type="dxa"/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Closed book</w:t>
            </w: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</w:tr>
      <w:tr w:rsidR="00653498" w:rsidRPr="00334471" w:rsidTr="00653498">
        <w:tc>
          <w:tcPr>
            <w:tcW w:w="2614" w:type="dxa"/>
            <w:tcBorders>
              <w:bottom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Supervision</w:t>
            </w: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</w:tr>
      <w:tr w:rsidR="00653498" w:rsidRPr="00334471" w:rsidTr="00653498">
        <w:tc>
          <w:tcPr>
            <w:tcW w:w="2614" w:type="dxa"/>
            <w:tcBorders>
              <w:bottom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  <w:r w:rsidRPr="00334471">
              <w:rPr>
                <w:sz w:val="24"/>
                <w:szCs w:val="24"/>
              </w:rPr>
              <w:t>Controlled conditions</w:t>
            </w: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653498" w:rsidRPr="00334471" w:rsidRDefault="00653498" w:rsidP="00E4537B">
            <w:pPr>
              <w:rPr>
                <w:sz w:val="24"/>
                <w:szCs w:val="24"/>
              </w:rPr>
            </w:pPr>
          </w:p>
        </w:tc>
      </w:tr>
    </w:tbl>
    <w:p w:rsidR="00653498" w:rsidRPr="00334471" w:rsidRDefault="00653498" w:rsidP="007E4553">
      <w:pPr>
        <w:rPr>
          <w:sz w:val="24"/>
          <w:szCs w:val="24"/>
        </w:rPr>
      </w:pPr>
    </w:p>
    <w:sectPr w:rsidR="00653498" w:rsidRPr="00334471" w:rsidSect="00334471">
      <w:footerReference w:type="default" r:id="rId7"/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71" w:rsidRDefault="00334471" w:rsidP="00334471">
      <w:pPr>
        <w:spacing w:after="0" w:line="240" w:lineRule="auto"/>
      </w:pPr>
      <w:r>
        <w:separator/>
      </w:r>
    </w:p>
  </w:endnote>
  <w:endnote w:type="continuationSeparator" w:id="0">
    <w:p w:rsidR="00334471" w:rsidRDefault="00334471" w:rsidP="0033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71" w:rsidRDefault="00334471">
    <w:pPr>
      <w:pStyle w:val="Footer"/>
    </w:pPr>
    <w:r>
      <w:t>Thursday – Assessment Conditions 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71" w:rsidRDefault="00334471" w:rsidP="00334471">
      <w:pPr>
        <w:spacing w:after="0" w:line="240" w:lineRule="auto"/>
      </w:pPr>
      <w:r>
        <w:separator/>
      </w:r>
    </w:p>
  </w:footnote>
  <w:footnote w:type="continuationSeparator" w:id="0">
    <w:p w:rsidR="00334471" w:rsidRDefault="00334471" w:rsidP="0033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C4F"/>
    <w:multiLevelType w:val="hybridMultilevel"/>
    <w:tmpl w:val="B6C42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74A"/>
    <w:multiLevelType w:val="hybridMultilevel"/>
    <w:tmpl w:val="2A08F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6"/>
    <w:rsid w:val="00334471"/>
    <w:rsid w:val="0034288A"/>
    <w:rsid w:val="00355380"/>
    <w:rsid w:val="003C0A16"/>
    <w:rsid w:val="004C3A8B"/>
    <w:rsid w:val="00653498"/>
    <w:rsid w:val="007E4553"/>
    <w:rsid w:val="00A21019"/>
    <w:rsid w:val="00C16F0B"/>
    <w:rsid w:val="00E506C8"/>
    <w:rsid w:val="00E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9917"/>
  <w15:docId w15:val="{01EA234A-4DA6-4393-B007-C01A5555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71"/>
  </w:style>
  <w:style w:type="paragraph" w:styleId="Footer">
    <w:name w:val="footer"/>
    <w:basedOn w:val="Normal"/>
    <w:link w:val="FooterChar"/>
    <w:uiPriority w:val="99"/>
    <w:unhideWhenUsed/>
    <w:rsid w:val="0033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Strain</dc:creator>
  <cp:lastModifiedBy>Jacqueline Ryder</cp:lastModifiedBy>
  <cp:revision>3</cp:revision>
  <dcterms:created xsi:type="dcterms:W3CDTF">2019-01-25T11:07:00Z</dcterms:created>
  <dcterms:modified xsi:type="dcterms:W3CDTF">2019-01-25T13:35:00Z</dcterms:modified>
</cp:coreProperties>
</file>