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79" w:rsidRPr="006F06C1" w:rsidRDefault="004B5979" w:rsidP="008A2618">
      <w:pPr>
        <w:pStyle w:val="Header"/>
        <w:tabs>
          <w:tab w:val="left" w:pos="720"/>
        </w:tabs>
        <w:spacing w:after="200" w:line="276" w:lineRule="auto"/>
        <w:rPr>
          <w:rFonts w:cs="Arial"/>
          <w:b/>
          <w:sz w:val="28"/>
          <w:szCs w:val="28"/>
        </w:rPr>
      </w:pPr>
      <w:bookmarkStart w:id="0" w:name="_GoBack"/>
      <w:bookmarkEnd w:id="0"/>
      <w:r w:rsidRPr="006F06C1">
        <w:rPr>
          <w:rFonts w:cs="Arial"/>
          <w:b/>
          <w:sz w:val="28"/>
          <w:szCs w:val="28"/>
        </w:rPr>
        <w:t>Assessment Checklist</w:t>
      </w:r>
      <w:r w:rsidR="006F06C1">
        <w:rPr>
          <w:rFonts w:cs="Arial"/>
          <w:b/>
          <w:sz w:val="28"/>
          <w:szCs w:val="28"/>
        </w:rPr>
        <w:t xml:space="preserve">          </w:t>
      </w:r>
      <w:r w:rsidR="008A2618" w:rsidRPr="006F06C1">
        <w:rPr>
          <w:rFonts w:cs="Arial"/>
          <w:b/>
          <w:sz w:val="28"/>
          <w:szCs w:val="28"/>
        </w:rPr>
        <w:tab/>
      </w:r>
      <w:proofErr w:type="gramStart"/>
      <w:r w:rsidRPr="006F06C1">
        <w:rPr>
          <w:rFonts w:cs="Arial"/>
          <w:b/>
          <w:sz w:val="28"/>
          <w:szCs w:val="28"/>
        </w:rPr>
        <w:t>The</w:t>
      </w:r>
      <w:proofErr w:type="gramEnd"/>
      <w:r w:rsidRPr="006F06C1">
        <w:rPr>
          <w:rFonts w:cs="Arial"/>
          <w:b/>
          <w:sz w:val="28"/>
          <w:szCs w:val="28"/>
        </w:rPr>
        <w:t xml:space="preserve"> Financial Services Sector HND1 35</w:t>
      </w:r>
    </w:p>
    <w:p w:rsidR="004B5979" w:rsidRDefault="004B5979" w:rsidP="00C76CE4">
      <w:pPr>
        <w:pStyle w:val="Header"/>
        <w:tabs>
          <w:tab w:val="left" w:pos="720"/>
        </w:tabs>
        <w:spacing w:after="200" w:line="276" w:lineRule="auto"/>
        <w:rPr>
          <w:rFonts w:cs="Arial"/>
          <w:szCs w:val="22"/>
        </w:rPr>
      </w:pPr>
    </w:p>
    <w:tbl>
      <w:tblPr>
        <w:tblStyle w:val="TableGrid"/>
        <w:tblW w:w="0" w:type="auto"/>
        <w:tblLook w:val="04A0" w:firstRow="1" w:lastRow="0" w:firstColumn="1" w:lastColumn="0" w:noHBand="0" w:noVBand="1"/>
      </w:tblPr>
      <w:tblGrid>
        <w:gridCol w:w="2937"/>
        <w:gridCol w:w="1224"/>
        <w:gridCol w:w="1306"/>
        <w:gridCol w:w="820"/>
        <w:gridCol w:w="2955"/>
      </w:tblGrid>
      <w:tr w:rsidR="004B5979" w:rsidTr="004B5979">
        <w:tc>
          <w:tcPr>
            <w:tcW w:w="4621" w:type="dxa"/>
          </w:tcPr>
          <w:p w:rsidR="004B5979" w:rsidRDefault="004B5979" w:rsidP="00C76CE4">
            <w:pPr>
              <w:pStyle w:val="Header"/>
              <w:tabs>
                <w:tab w:val="left" w:pos="720"/>
              </w:tabs>
              <w:spacing w:after="200" w:line="276" w:lineRule="auto"/>
              <w:rPr>
                <w:rFonts w:cs="Arial"/>
                <w:szCs w:val="22"/>
              </w:rPr>
            </w:pPr>
            <w:r>
              <w:rPr>
                <w:rFonts w:cs="Arial"/>
                <w:szCs w:val="22"/>
              </w:rPr>
              <w:t>Candidate Name</w:t>
            </w:r>
          </w:p>
        </w:tc>
        <w:tc>
          <w:tcPr>
            <w:tcW w:w="4771" w:type="dxa"/>
            <w:gridSpan w:val="3"/>
          </w:tcPr>
          <w:p w:rsidR="004B5979" w:rsidRDefault="004B5979" w:rsidP="00C76CE4">
            <w:pPr>
              <w:pStyle w:val="Header"/>
              <w:tabs>
                <w:tab w:val="left" w:pos="720"/>
              </w:tabs>
              <w:spacing w:after="200" w:line="276" w:lineRule="auto"/>
              <w:rPr>
                <w:rFonts w:cs="Arial"/>
                <w:szCs w:val="22"/>
              </w:rPr>
            </w:pPr>
            <w:r>
              <w:rPr>
                <w:rFonts w:cs="Arial"/>
                <w:szCs w:val="22"/>
              </w:rPr>
              <w:t>Candidate Number</w:t>
            </w:r>
          </w:p>
        </w:tc>
        <w:tc>
          <w:tcPr>
            <w:tcW w:w="4771" w:type="dxa"/>
          </w:tcPr>
          <w:p w:rsidR="004B5979" w:rsidRDefault="004B5979" w:rsidP="00C76CE4">
            <w:pPr>
              <w:pStyle w:val="Header"/>
              <w:tabs>
                <w:tab w:val="left" w:pos="720"/>
              </w:tabs>
              <w:spacing w:after="200" w:line="276" w:lineRule="auto"/>
              <w:rPr>
                <w:rFonts w:cs="Arial"/>
                <w:szCs w:val="22"/>
              </w:rPr>
            </w:pPr>
            <w:r>
              <w:rPr>
                <w:rFonts w:cs="Arial"/>
                <w:szCs w:val="22"/>
              </w:rPr>
              <w:t>Date</w:t>
            </w:r>
          </w:p>
        </w:tc>
      </w:tr>
      <w:tr w:rsidR="004B5979" w:rsidTr="004B5979">
        <w:tc>
          <w:tcPr>
            <w:tcW w:w="4621" w:type="dxa"/>
          </w:tcPr>
          <w:p w:rsidR="004B5979" w:rsidRDefault="004B5979" w:rsidP="004E1A30">
            <w:pPr>
              <w:pStyle w:val="Header"/>
              <w:tabs>
                <w:tab w:val="left" w:pos="720"/>
              </w:tabs>
              <w:spacing w:after="200" w:line="276" w:lineRule="auto"/>
              <w:rPr>
                <w:rFonts w:cs="Arial"/>
                <w:szCs w:val="22"/>
              </w:rPr>
            </w:pPr>
            <w:r>
              <w:rPr>
                <w:rFonts w:cs="Arial"/>
                <w:szCs w:val="22"/>
              </w:rPr>
              <w:t xml:space="preserve">Assessor </w:t>
            </w:r>
          </w:p>
        </w:tc>
        <w:tc>
          <w:tcPr>
            <w:tcW w:w="4771" w:type="dxa"/>
            <w:gridSpan w:val="3"/>
          </w:tcPr>
          <w:p w:rsidR="004B5979" w:rsidRDefault="004E1A30" w:rsidP="004B5979">
            <w:pPr>
              <w:pStyle w:val="Header"/>
              <w:tabs>
                <w:tab w:val="left" w:pos="720"/>
              </w:tabs>
              <w:spacing w:after="200" w:line="276" w:lineRule="auto"/>
              <w:rPr>
                <w:rFonts w:cs="Arial"/>
                <w:szCs w:val="22"/>
              </w:rPr>
            </w:pPr>
            <w:r>
              <w:rPr>
                <w:rFonts w:cs="Arial"/>
                <w:szCs w:val="22"/>
              </w:rPr>
              <w:t>Internal Verifier</w:t>
            </w:r>
          </w:p>
        </w:tc>
        <w:tc>
          <w:tcPr>
            <w:tcW w:w="4771" w:type="dxa"/>
          </w:tcPr>
          <w:p w:rsidR="004B5979" w:rsidRDefault="004E1A30" w:rsidP="008A2618">
            <w:pPr>
              <w:pStyle w:val="Header"/>
              <w:tabs>
                <w:tab w:val="left" w:pos="720"/>
              </w:tabs>
              <w:spacing w:after="200" w:line="276" w:lineRule="auto"/>
              <w:rPr>
                <w:rFonts w:cs="Arial"/>
                <w:szCs w:val="22"/>
              </w:rPr>
            </w:pPr>
            <w:r>
              <w:rPr>
                <w:rFonts w:cs="Arial"/>
                <w:szCs w:val="22"/>
              </w:rPr>
              <w:t>Assessment outcome</w:t>
            </w:r>
          </w:p>
        </w:tc>
      </w:tr>
      <w:tr w:rsidR="004B5979" w:rsidTr="004B5979">
        <w:tc>
          <w:tcPr>
            <w:tcW w:w="7196" w:type="dxa"/>
            <w:gridSpan w:val="2"/>
          </w:tcPr>
          <w:p w:rsidR="004B5979" w:rsidRDefault="004B5979" w:rsidP="00C76CE4">
            <w:pPr>
              <w:pStyle w:val="Header"/>
              <w:tabs>
                <w:tab w:val="left" w:pos="720"/>
              </w:tabs>
              <w:spacing w:after="200" w:line="276" w:lineRule="auto"/>
              <w:rPr>
                <w:rFonts w:cs="Arial"/>
                <w:szCs w:val="22"/>
              </w:rPr>
            </w:pPr>
          </w:p>
        </w:tc>
        <w:tc>
          <w:tcPr>
            <w:tcW w:w="1284" w:type="dxa"/>
          </w:tcPr>
          <w:p w:rsidR="004B5979" w:rsidRPr="004B5979" w:rsidRDefault="008A2618" w:rsidP="00C76CE4">
            <w:pPr>
              <w:pStyle w:val="Header"/>
              <w:tabs>
                <w:tab w:val="left" w:pos="720"/>
              </w:tabs>
              <w:spacing w:after="200" w:line="276" w:lineRule="auto"/>
              <w:rPr>
                <w:rFonts w:cs="Arial"/>
                <w:sz w:val="20"/>
              </w:rPr>
            </w:pPr>
            <w:r>
              <w:rPr>
                <w:rFonts w:cs="Arial"/>
                <w:sz w:val="20"/>
              </w:rPr>
              <w:t>A</w:t>
            </w:r>
            <w:r w:rsidR="004B5979" w:rsidRPr="004B5979">
              <w:rPr>
                <w:rFonts w:cs="Arial"/>
                <w:sz w:val="20"/>
              </w:rPr>
              <w:t>ssessment</w:t>
            </w:r>
          </w:p>
        </w:tc>
        <w:tc>
          <w:tcPr>
            <w:tcW w:w="912" w:type="dxa"/>
          </w:tcPr>
          <w:p w:rsidR="004B5979" w:rsidRDefault="004B5979" w:rsidP="00C76CE4">
            <w:pPr>
              <w:pStyle w:val="Header"/>
              <w:tabs>
                <w:tab w:val="left" w:pos="720"/>
              </w:tabs>
              <w:spacing w:after="200" w:line="276" w:lineRule="auto"/>
              <w:rPr>
                <w:rFonts w:cs="Arial"/>
                <w:szCs w:val="22"/>
              </w:rPr>
            </w:pPr>
            <w:r>
              <w:rPr>
                <w:rFonts w:cs="Arial"/>
                <w:szCs w:val="22"/>
              </w:rPr>
              <w:t>Redo</w:t>
            </w:r>
          </w:p>
        </w:tc>
        <w:tc>
          <w:tcPr>
            <w:tcW w:w="4771" w:type="dxa"/>
          </w:tcPr>
          <w:p w:rsidR="004B5979" w:rsidRDefault="004E1A30" w:rsidP="00C76CE4">
            <w:pPr>
              <w:pStyle w:val="Header"/>
              <w:tabs>
                <w:tab w:val="left" w:pos="720"/>
              </w:tabs>
              <w:spacing w:after="200" w:line="276" w:lineRule="auto"/>
              <w:rPr>
                <w:rFonts w:cs="Arial"/>
                <w:szCs w:val="22"/>
              </w:rPr>
            </w:pPr>
            <w:r>
              <w:rPr>
                <w:rFonts w:cs="Arial"/>
                <w:szCs w:val="22"/>
              </w:rPr>
              <w:t>Comments</w:t>
            </w:r>
          </w:p>
        </w:tc>
      </w:tr>
      <w:tr w:rsidR="004B5979" w:rsidTr="004B5979">
        <w:tc>
          <w:tcPr>
            <w:tcW w:w="7196" w:type="dxa"/>
            <w:gridSpan w:val="2"/>
          </w:tcPr>
          <w:p w:rsidR="004B5979" w:rsidRPr="008A2618" w:rsidRDefault="004B5979" w:rsidP="00C76CE4">
            <w:pPr>
              <w:pStyle w:val="Header"/>
              <w:tabs>
                <w:tab w:val="left" w:pos="720"/>
              </w:tabs>
              <w:spacing w:after="200" w:line="276" w:lineRule="auto"/>
              <w:rPr>
                <w:rFonts w:cs="Arial"/>
                <w:b/>
                <w:szCs w:val="22"/>
              </w:rPr>
            </w:pPr>
            <w:r w:rsidRPr="008A2618">
              <w:rPr>
                <w:rFonts w:cs="Arial"/>
                <w:b/>
                <w:szCs w:val="22"/>
              </w:rPr>
              <w:t>OUTCOME 1</w:t>
            </w:r>
          </w:p>
        </w:tc>
        <w:tc>
          <w:tcPr>
            <w:tcW w:w="1284" w:type="dxa"/>
          </w:tcPr>
          <w:p w:rsidR="004B5979" w:rsidRPr="004B5979" w:rsidRDefault="004B5979" w:rsidP="00C76CE4">
            <w:pPr>
              <w:pStyle w:val="Header"/>
              <w:tabs>
                <w:tab w:val="left" w:pos="720"/>
              </w:tabs>
              <w:spacing w:after="200" w:line="276" w:lineRule="auto"/>
              <w:rPr>
                <w:rFonts w:cs="Arial"/>
                <w:sz w:val="20"/>
              </w:rPr>
            </w:pPr>
          </w:p>
        </w:tc>
        <w:tc>
          <w:tcPr>
            <w:tcW w:w="912" w:type="dxa"/>
          </w:tcPr>
          <w:p w:rsidR="004B5979" w:rsidRDefault="004B5979" w:rsidP="00C76CE4">
            <w:pPr>
              <w:pStyle w:val="Header"/>
              <w:tabs>
                <w:tab w:val="left" w:pos="720"/>
              </w:tabs>
              <w:spacing w:after="200" w:line="276" w:lineRule="auto"/>
              <w:rPr>
                <w:rFonts w:cs="Arial"/>
                <w:szCs w:val="22"/>
              </w:rPr>
            </w:pPr>
          </w:p>
        </w:tc>
        <w:tc>
          <w:tcPr>
            <w:tcW w:w="4771" w:type="dxa"/>
          </w:tcPr>
          <w:p w:rsidR="004B5979" w:rsidRDefault="004B5979" w:rsidP="00C76CE4">
            <w:pPr>
              <w:pStyle w:val="Header"/>
              <w:tabs>
                <w:tab w:val="left" w:pos="720"/>
              </w:tabs>
              <w:spacing w:after="200" w:line="276" w:lineRule="auto"/>
              <w:rPr>
                <w:rFonts w:cs="Arial"/>
                <w:szCs w:val="22"/>
              </w:rPr>
            </w:pPr>
          </w:p>
        </w:tc>
      </w:tr>
      <w:tr w:rsidR="004B5979" w:rsidTr="004B5979">
        <w:tc>
          <w:tcPr>
            <w:tcW w:w="7196" w:type="dxa"/>
            <w:gridSpan w:val="2"/>
          </w:tcPr>
          <w:p w:rsidR="004B5979" w:rsidRDefault="004B5979" w:rsidP="004B5979">
            <w:pPr>
              <w:pStyle w:val="Header"/>
              <w:tabs>
                <w:tab w:val="left" w:pos="720"/>
              </w:tabs>
              <w:spacing w:after="200" w:line="276" w:lineRule="auto"/>
              <w:rPr>
                <w:rFonts w:cs="Arial"/>
                <w:szCs w:val="22"/>
              </w:rPr>
            </w:pPr>
            <w:r>
              <w:rPr>
                <w:rFonts w:cs="Arial"/>
                <w:szCs w:val="22"/>
              </w:rPr>
              <w:t>Explains three options on maturity of National Savings Certificates</w:t>
            </w:r>
          </w:p>
        </w:tc>
        <w:tc>
          <w:tcPr>
            <w:tcW w:w="1284" w:type="dxa"/>
          </w:tcPr>
          <w:p w:rsidR="004B5979" w:rsidRPr="004B5979" w:rsidRDefault="004B5979" w:rsidP="00C76CE4">
            <w:pPr>
              <w:pStyle w:val="Header"/>
              <w:tabs>
                <w:tab w:val="left" w:pos="720"/>
              </w:tabs>
              <w:spacing w:after="200" w:line="276" w:lineRule="auto"/>
              <w:rPr>
                <w:rFonts w:cs="Arial"/>
                <w:sz w:val="20"/>
              </w:rPr>
            </w:pPr>
          </w:p>
        </w:tc>
        <w:tc>
          <w:tcPr>
            <w:tcW w:w="912" w:type="dxa"/>
          </w:tcPr>
          <w:p w:rsidR="004B5979" w:rsidRDefault="004B5979" w:rsidP="00C76CE4">
            <w:pPr>
              <w:pStyle w:val="Header"/>
              <w:tabs>
                <w:tab w:val="left" w:pos="720"/>
              </w:tabs>
              <w:spacing w:after="200" w:line="276" w:lineRule="auto"/>
              <w:rPr>
                <w:rFonts w:cs="Arial"/>
                <w:szCs w:val="22"/>
              </w:rPr>
            </w:pPr>
          </w:p>
        </w:tc>
        <w:tc>
          <w:tcPr>
            <w:tcW w:w="4771" w:type="dxa"/>
          </w:tcPr>
          <w:p w:rsidR="004B5979" w:rsidRDefault="004B5979" w:rsidP="00C76CE4">
            <w:pPr>
              <w:pStyle w:val="Header"/>
              <w:tabs>
                <w:tab w:val="left" w:pos="720"/>
              </w:tabs>
              <w:spacing w:after="200" w:line="276" w:lineRule="auto"/>
              <w:rPr>
                <w:rFonts w:cs="Arial"/>
                <w:szCs w:val="22"/>
              </w:rPr>
            </w:pPr>
          </w:p>
        </w:tc>
      </w:tr>
      <w:tr w:rsidR="004B5979" w:rsidTr="004B5979">
        <w:tc>
          <w:tcPr>
            <w:tcW w:w="7196" w:type="dxa"/>
            <w:gridSpan w:val="2"/>
          </w:tcPr>
          <w:p w:rsidR="004B5979" w:rsidRDefault="004E1A30" w:rsidP="006F06C1">
            <w:pPr>
              <w:pStyle w:val="Header"/>
              <w:tabs>
                <w:tab w:val="left" w:pos="720"/>
              </w:tabs>
              <w:spacing w:after="200" w:line="276" w:lineRule="auto"/>
              <w:rPr>
                <w:rFonts w:cs="Arial"/>
                <w:szCs w:val="22"/>
              </w:rPr>
            </w:pPr>
            <w:r>
              <w:rPr>
                <w:rFonts w:cs="Arial"/>
                <w:szCs w:val="22"/>
              </w:rPr>
              <w:t xml:space="preserve">Explains the four options the investor has </w:t>
            </w:r>
            <w:r w:rsidR="006F06C1">
              <w:rPr>
                <w:rFonts w:cs="Arial"/>
                <w:szCs w:val="22"/>
              </w:rPr>
              <w:t>during a</w:t>
            </w:r>
            <w:r>
              <w:rPr>
                <w:rFonts w:cs="Arial"/>
                <w:szCs w:val="22"/>
              </w:rPr>
              <w:t xml:space="preserve"> Rights issue</w:t>
            </w:r>
          </w:p>
        </w:tc>
        <w:tc>
          <w:tcPr>
            <w:tcW w:w="1284" w:type="dxa"/>
          </w:tcPr>
          <w:p w:rsidR="004B5979" w:rsidRPr="004B5979" w:rsidRDefault="004B5979" w:rsidP="00C76CE4">
            <w:pPr>
              <w:pStyle w:val="Header"/>
              <w:tabs>
                <w:tab w:val="left" w:pos="720"/>
              </w:tabs>
              <w:spacing w:after="200" w:line="276" w:lineRule="auto"/>
              <w:rPr>
                <w:rFonts w:cs="Arial"/>
                <w:sz w:val="20"/>
              </w:rPr>
            </w:pPr>
          </w:p>
        </w:tc>
        <w:tc>
          <w:tcPr>
            <w:tcW w:w="912" w:type="dxa"/>
          </w:tcPr>
          <w:p w:rsidR="004B5979" w:rsidRDefault="004B5979" w:rsidP="00C76CE4">
            <w:pPr>
              <w:pStyle w:val="Header"/>
              <w:tabs>
                <w:tab w:val="left" w:pos="720"/>
              </w:tabs>
              <w:spacing w:after="200" w:line="276" w:lineRule="auto"/>
              <w:rPr>
                <w:rFonts w:cs="Arial"/>
                <w:szCs w:val="22"/>
              </w:rPr>
            </w:pPr>
          </w:p>
        </w:tc>
        <w:tc>
          <w:tcPr>
            <w:tcW w:w="4771" w:type="dxa"/>
          </w:tcPr>
          <w:p w:rsidR="004B5979" w:rsidRDefault="004B5979" w:rsidP="00C76CE4">
            <w:pPr>
              <w:pStyle w:val="Header"/>
              <w:tabs>
                <w:tab w:val="left" w:pos="720"/>
              </w:tabs>
              <w:spacing w:after="200" w:line="276" w:lineRule="auto"/>
              <w:rPr>
                <w:rFonts w:cs="Arial"/>
                <w:szCs w:val="22"/>
              </w:rPr>
            </w:pPr>
          </w:p>
        </w:tc>
      </w:tr>
      <w:tr w:rsidR="004E1A30" w:rsidTr="004B5979">
        <w:tc>
          <w:tcPr>
            <w:tcW w:w="7196" w:type="dxa"/>
            <w:gridSpan w:val="2"/>
          </w:tcPr>
          <w:p w:rsidR="004E1A30" w:rsidRDefault="004E1A30" w:rsidP="004E1A30">
            <w:pPr>
              <w:pStyle w:val="Header"/>
              <w:tabs>
                <w:tab w:val="left" w:pos="720"/>
              </w:tabs>
              <w:spacing w:after="200" w:line="276" w:lineRule="auto"/>
              <w:rPr>
                <w:rFonts w:cs="Arial"/>
                <w:szCs w:val="22"/>
              </w:rPr>
            </w:pPr>
            <w:r>
              <w:rPr>
                <w:rFonts w:cs="Arial"/>
                <w:szCs w:val="22"/>
              </w:rPr>
              <w:t>Identifies the defined benefits pension scheme</w:t>
            </w:r>
          </w:p>
        </w:tc>
        <w:tc>
          <w:tcPr>
            <w:tcW w:w="1284" w:type="dxa"/>
          </w:tcPr>
          <w:p w:rsidR="004E1A30" w:rsidRPr="004B5979" w:rsidRDefault="004E1A30" w:rsidP="00C76CE4">
            <w:pPr>
              <w:pStyle w:val="Header"/>
              <w:tabs>
                <w:tab w:val="left" w:pos="720"/>
              </w:tabs>
              <w:spacing w:after="200" w:line="276" w:lineRule="auto"/>
              <w:rPr>
                <w:rFonts w:cs="Arial"/>
                <w:sz w:val="20"/>
              </w:rPr>
            </w:pPr>
          </w:p>
        </w:tc>
        <w:tc>
          <w:tcPr>
            <w:tcW w:w="912" w:type="dxa"/>
          </w:tcPr>
          <w:p w:rsidR="004E1A30" w:rsidRDefault="004E1A30" w:rsidP="00C76CE4">
            <w:pPr>
              <w:pStyle w:val="Header"/>
              <w:tabs>
                <w:tab w:val="left" w:pos="720"/>
              </w:tabs>
              <w:spacing w:after="200" w:line="276" w:lineRule="auto"/>
              <w:rPr>
                <w:rFonts w:cs="Arial"/>
                <w:szCs w:val="22"/>
              </w:rPr>
            </w:pPr>
          </w:p>
        </w:tc>
        <w:tc>
          <w:tcPr>
            <w:tcW w:w="4771" w:type="dxa"/>
          </w:tcPr>
          <w:p w:rsidR="004E1A30" w:rsidRDefault="004E1A30" w:rsidP="00C76CE4">
            <w:pPr>
              <w:pStyle w:val="Header"/>
              <w:tabs>
                <w:tab w:val="left" w:pos="720"/>
              </w:tabs>
              <w:spacing w:after="200" w:line="276" w:lineRule="auto"/>
              <w:rPr>
                <w:rFonts w:cs="Arial"/>
                <w:szCs w:val="22"/>
              </w:rPr>
            </w:pPr>
          </w:p>
        </w:tc>
      </w:tr>
      <w:tr w:rsidR="004E1A30" w:rsidTr="004B5979">
        <w:tc>
          <w:tcPr>
            <w:tcW w:w="7196" w:type="dxa"/>
            <w:gridSpan w:val="2"/>
          </w:tcPr>
          <w:p w:rsidR="004E1A30" w:rsidRDefault="004E1A30" w:rsidP="004E1A30">
            <w:pPr>
              <w:pStyle w:val="Header"/>
              <w:tabs>
                <w:tab w:val="left" w:pos="720"/>
              </w:tabs>
              <w:spacing w:after="200" w:line="276" w:lineRule="auto"/>
              <w:rPr>
                <w:rFonts w:cs="Arial"/>
                <w:szCs w:val="22"/>
              </w:rPr>
            </w:pPr>
            <w:r>
              <w:rPr>
                <w:rFonts w:cs="Arial"/>
                <w:szCs w:val="22"/>
              </w:rPr>
              <w:t>Explains four features of a defined benefits pension scheme</w:t>
            </w:r>
          </w:p>
        </w:tc>
        <w:tc>
          <w:tcPr>
            <w:tcW w:w="1284" w:type="dxa"/>
          </w:tcPr>
          <w:p w:rsidR="004E1A30" w:rsidRPr="004B5979" w:rsidRDefault="004E1A30" w:rsidP="00C76CE4">
            <w:pPr>
              <w:pStyle w:val="Header"/>
              <w:tabs>
                <w:tab w:val="left" w:pos="720"/>
              </w:tabs>
              <w:spacing w:after="200" w:line="276" w:lineRule="auto"/>
              <w:rPr>
                <w:rFonts w:cs="Arial"/>
                <w:sz w:val="20"/>
              </w:rPr>
            </w:pPr>
          </w:p>
        </w:tc>
        <w:tc>
          <w:tcPr>
            <w:tcW w:w="912" w:type="dxa"/>
          </w:tcPr>
          <w:p w:rsidR="004E1A30" w:rsidRDefault="004E1A30" w:rsidP="00C76CE4">
            <w:pPr>
              <w:pStyle w:val="Header"/>
              <w:tabs>
                <w:tab w:val="left" w:pos="720"/>
              </w:tabs>
              <w:spacing w:after="200" w:line="276" w:lineRule="auto"/>
              <w:rPr>
                <w:rFonts w:cs="Arial"/>
                <w:szCs w:val="22"/>
              </w:rPr>
            </w:pPr>
          </w:p>
        </w:tc>
        <w:tc>
          <w:tcPr>
            <w:tcW w:w="4771" w:type="dxa"/>
          </w:tcPr>
          <w:p w:rsidR="004E1A30" w:rsidRDefault="004E1A30" w:rsidP="00C76CE4">
            <w:pPr>
              <w:pStyle w:val="Header"/>
              <w:tabs>
                <w:tab w:val="left" w:pos="720"/>
              </w:tabs>
              <w:spacing w:after="200" w:line="276" w:lineRule="auto"/>
              <w:rPr>
                <w:rFonts w:cs="Arial"/>
                <w:szCs w:val="22"/>
              </w:rPr>
            </w:pPr>
          </w:p>
        </w:tc>
      </w:tr>
      <w:tr w:rsidR="004E1A30" w:rsidTr="004B5979">
        <w:tc>
          <w:tcPr>
            <w:tcW w:w="7196" w:type="dxa"/>
            <w:gridSpan w:val="2"/>
          </w:tcPr>
          <w:p w:rsidR="004E1A30" w:rsidRPr="008A2618" w:rsidRDefault="004E1A30" w:rsidP="004E1A30">
            <w:pPr>
              <w:pStyle w:val="Header"/>
              <w:tabs>
                <w:tab w:val="left" w:pos="720"/>
              </w:tabs>
              <w:spacing w:after="200" w:line="276" w:lineRule="auto"/>
              <w:rPr>
                <w:rFonts w:cs="Arial"/>
                <w:b/>
                <w:szCs w:val="22"/>
              </w:rPr>
            </w:pPr>
            <w:r w:rsidRPr="008A2618">
              <w:rPr>
                <w:rFonts w:cs="Arial"/>
                <w:b/>
                <w:szCs w:val="22"/>
              </w:rPr>
              <w:t>OUTCOME 2</w:t>
            </w:r>
          </w:p>
        </w:tc>
        <w:tc>
          <w:tcPr>
            <w:tcW w:w="1284" w:type="dxa"/>
          </w:tcPr>
          <w:p w:rsidR="004E1A30" w:rsidRPr="004B5979" w:rsidRDefault="004E1A30" w:rsidP="00C76CE4">
            <w:pPr>
              <w:pStyle w:val="Header"/>
              <w:tabs>
                <w:tab w:val="left" w:pos="720"/>
              </w:tabs>
              <w:spacing w:after="200" w:line="276" w:lineRule="auto"/>
              <w:rPr>
                <w:rFonts w:cs="Arial"/>
                <w:sz w:val="20"/>
              </w:rPr>
            </w:pPr>
          </w:p>
        </w:tc>
        <w:tc>
          <w:tcPr>
            <w:tcW w:w="912" w:type="dxa"/>
          </w:tcPr>
          <w:p w:rsidR="004E1A30" w:rsidRDefault="004E1A30" w:rsidP="00C76CE4">
            <w:pPr>
              <w:pStyle w:val="Header"/>
              <w:tabs>
                <w:tab w:val="left" w:pos="720"/>
              </w:tabs>
              <w:spacing w:after="200" w:line="276" w:lineRule="auto"/>
              <w:rPr>
                <w:rFonts w:cs="Arial"/>
                <w:szCs w:val="22"/>
              </w:rPr>
            </w:pPr>
          </w:p>
        </w:tc>
        <w:tc>
          <w:tcPr>
            <w:tcW w:w="4771" w:type="dxa"/>
          </w:tcPr>
          <w:p w:rsidR="004E1A30" w:rsidRDefault="004E1A30" w:rsidP="00C76CE4">
            <w:pPr>
              <w:pStyle w:val="Header"/>
              <w:tabs>
                <w:tab w:val="left" w:pos="720"/>
              </w:tabs>
              <w:spacing w:after="200" w:line="276" w:lineRule="auto"/>
              <w:rPr>
                <w:rFonts w:cs="Arial"/>
                <w:szCs w:val="22"/>
              </w:rPr>
            </w:pPr>
          </w:p>
        </w:tc>
      </w:tr>
      <w:tr w:rsidR="004E1A30" w:rsidTr="004B5979">
        <w:tc>
          <w:tcPr>
            <w:tcW w:w="7196" w:type="dxa"/>
            <w:gridSpan w:val="2"/>
          </w:tcPr>
          <w:p w:rsidR="004E1A30" w:rsidRDefault="008A2618" w:rsidP="008A2618">
            <w:pPr>
              <w:pStyle w:val="Header"/>
              <w:tabs>
                <w:tab w:val="left" w:pos="720"/>
              </w:tabs>
              <w:spacing w:after="200" w:line="276" w:lineRule="auto"/>
              <w:rPr>
                <w:rFonts w:cs="Arial"/>
                <w:szCs w:val="22"/>
              </w:rPr>
            </w:pPr>
            <w:r>
              <w:rPr>
                <w:rFonts w:cs="Arial"/>
                <w:szCs w:val="22"/>
              </w:rPr>
              <w:t>Explains why the correct designation is restricted advice</w:t>
            </w:r>
          </w:p>
        </w:tc>
        <w:tc>
          <w:tcPr>
            <w:tcW w:w="1284" w:type="dxa"/>
          </w:tcPr>
          <w:p w:rsidR="004E1A30" w:rsidRPr="004B5979" w:rsidRDefault="004E1A30" w:rsidP="00C76CE4">
            <w:pPr>
              <w:pStyle w:val="Header"/>
              <w:tabs>
                <w:tab w:val="left" w:pos="720"/>
              </w:tabs>
              <w:spacing w:after="200" w:line="276" w:lineRule="auto"/>
              <w:rPr>
                <w:rFonts w:cs="Arial"/>
                <w:sz w:val="20"/>
              </w:rPr>
            </w:pPr>
          </w:p>
        </w:tc>
        <w:tc>
          <w:tcPr>
            <w:tcW w:w="912" w:type="dxa"/>
          </w:tcPr>
          <w:p w:rsidR="004E1A30" w:rsidRDefault="004E1A30" w:rsidP="00C76CE4">
            <w:pPr>
              <w:pStyle w:val="Header"/>
              <w:tabs>
                <w:tab w:val="left" w:pos="720"/>
              </w:tabs>
              <w:spacing w:after="200" w:line="276" w:lineRule="auto"/>
              <w:rPr>
                <w:rFonts w:cs="Arial"/>
                <w:szCs w:val="22"/>
              </w:rPr>
            </w:pPr>
          </w:p>
        </w:tc>
        <w:tc>
          <w:tcPr>
            <w:tcW w:w="4771" w:type="dxa"/>
          </w:tcPr>
          <w:p w:rsidR="004E1A30" w:rsidRDefault="004E1A30" w:rsidP="00C76CE4">
            <w:pPr>
              <w:pStyle w:val="Header"/>
              <w:tabs>
                <w:tab w:val="left" w:pos="720"/>
              </w:tabs>
              <w:spacing w:after="200" w:line="276" w:lineRule="auto"/>
              <w:rPr>
                <w:rFonts w:cs="Arial"/>
                <w:szCs w:val="22"/>
              </w:rPr>
            </w:pPr>
          </w:p>
        </w:tc>
      </w:tr>
      <w:tr w:rsidR="008A2618" w:rsidTr="004B5979">
        <w:tc>
          <w:tcPr>
            <w:tcW w:w="7196" w:type="dxa"/>
            <w:gridSpan w:val="2"/>
          </w:tcPr>
          <w:p w:rsidR="008A2618" w:rsidRDefault="008A2618" w:rsidP="008A2618">
            <w:pPr>
              <w:pStyle w:val="Header"/>
              <w:tabs>
                <w:tab w:val="left" w:pos="720"/>
              </w:tabs>
              <w:spacing w:after="200" w:line="276" w:lineRule="auto"/>
              <w:rPr>
                <w:rFonts w:cs="Arial"/>
                <w:szCs w:val="22"/>
              </w:rPr>
            </w:pPr>
            <w:r>
              <w:rPr>
                <w:rFonts w:cs="Arial"/>
                <w:szCs w:val="22"/>
              </w:rPr>
              <w:t>Explains why the term professional investor is not appropriate</w:t>
            </w:r>
          </w:p>
        </w:tc>
        <w:tc>
          <w:tcPr>
            <w:tcW w:w="1284" w:type="dxa"/>
          </w:tcPr>
          <w:p w:rsidR="008A2618" w:rsidRPr="004B5979" w:rsidRDefault="008A2618" w:rsidP="00C76CE4">
            <w:pPr>
              <w:pStyle w:val="Header"/>
              <w:tabs>
                <w:tab w:val="left" w:pos="720"/>
              </w:tabs>
              <w:spacing w:after="200" w:line="276" w:lineRule="auto"/>
              <w:rPr>
                <w:rFonts w:cs="Arial"/>
                <w:sz w:val="20"/>
              </w:rPr>
            </w:pPr>
          </w:p>
        </w:tc>
        <w:tc>
          <w:tcPr>
            <w:tcW w:w="912" w:type="dxa"/>
          </w:tcPr>
          <w:p w:rsidR="008A2618" w:rsidRDefault="008A2618" w:rsidP="00C76CE4">
            <w:pPr>
              <w:pStyle w:val="Header"/>
              <w:tabs>
                <w:tab w:val="left" w:pos="720"/>
              </w:tabs>
              <w:spacing w:after="200" w:line="276" w:lineRule="auto"/>
              <w:rPr>
                <w:rFonts w:cs="Arial"/>
                <w:szCs w:val="22"/>
              </w:rPr>
            </w:pPr>
          </w:p>
        </w:tc>
        <w:tc>
          <w:tcPr>
            <w:tcW w:w="4771" w:type="dxa"/>
          </w:tcPr>
          <w:p w:rsidR="008A2618" w:rsidRDefault="008A2618" w:rsidP="00C76CE4">
            <w:pPr>
              <w:pStyle w:val="Header"/>
              <w:tabs>
                <w:tab w:val="left" w:pos="720"/>
              </w:tabs>
              <w:spacing w:after="200" w:line="276" w:lineRule="auto"/>
              <w:rPr>
                <w:rFonts w:cs="Arial"/>
                <w:szCs w:val="22"/>
              </w:rPr>
            </w:pPr>
          </w:p>
        </w:tc>
      </w:tr>
      <w:tr w:rsidR="008A2618" w:rsidTr="006F06C1">
        <w:trPr>
          <w:trHeight w:val="747"/>
        </w:trPr>
        <w:tc>
          <w:tcPr>
            <w:tcW w:w="7196" w:type="dxa"/>
            <w:gridSpan w:val="2"/>
          </w:tcPr>
          <w:p w:rsidR="008A2618" w:rsidRDefault="008A2618" w:rsidP="008A2618">
            <w:pPr>
              <w:pStyle w:val="Header"/>
              <w:tabs>
                <w:tab w:val="left" w:pos="720"/>
              </w:tabs>
              <w:spacing w:after="200" w:line="276" w:lineRule="auto"/>
              <w:rPr>
                <w:rFonts w:cs="Arial"/>
                <w:szCs w:val="22"/>
              </w:rPr>
            </w:pPr>
            <w:r>
              <w:rPr>
                <w:rFonts w:cs="Arial"/>
                <w:szCs w:val="22"/>
              </w:rPr>
              <w:t>Calculates the compensation payment</w:t>
            </w:r>
          </w:p>
          <w:p w:rsidR="008A2618" w:rsidRDefault="008A2618" w:rsidP="008A2618">
            <w:pPr>
              <w:pStyle w:val="Header"/>
              <w:tabs>
                <w:tab w:val="left" w:pos="720"/>
              </w:tabs>
              <w:spacing w:after="200" w:line="276" w:lineRule="auto"/>
              <w:rPr>
                <w:rFonts w:cs="Arial"/>
                <w:szCs w:val="22"/>
              </w:rPr>
            </w:pPr>
          </w:p>
        </w:tc>
        <w:tc>
          <w:tcPr>
            <w:tcW w:w="1284" w:type="dxa"/>
          </w:tcPr>
          <w:p w:rsidR="008A2618" w:rsidRPr="004B5979" w:rsidRDefault="008A2618" w:rsidP="00C76CE4">
            <w:pPr>
              <w:pStyle w:val="Header"/>
              <w:tabs>
                <w:tab w:val="left" w:pos="720"/>
              </w:tabs>
              <w:spacing w:after="200" w:line="276" w:lineRule="auto"/>
              <w:rPr>
                <w:rFonts w:cs="Arial"/>
                <w:sz w:val="20"/>
              </w:rPr>
            </w:pPr>
          </w:p>
        </w:tc>
        <w:tc>
          <w:tcPr>
            <w:tcW w:w="912" w:type="dxa"/>
          </w:tcPr>
          <w:p w:rsidR="008A2618" w:rsidRDefault="008A2618" w:rsidP="00C76CE4">
            <w:pPr>
              <w:pStyle w:val="Header"/>
              <w:tabs>
                <w:tab w:val="left" w:pos="720"/>
              </w:tabs>
              <w:spacing w:after="200" w:line="276" w:lineRule="auto"/>
              <w:rPr>
                <w:rFonts w:cs="Arial"/>
                <w:szCs w:val="22"/>
              </w:rPr>
            </w:pPr>
          </w:p>
        </w:tc>
        <w:tc>
          <w:tcPr>
            <w:tcW w:w="4771" w:type="dxa"/>
          </w:tcPr>
          <w:p w:rsidR="008A2618" w:rsidRDefault="008A2618" w:rsidP="00C76CE4">
            <w:pPr>
              <w:pStyle w:val="Header"/>
              <w:tabs>
                <w:tab w:val="left" w:pos="720"/>
              </w:tabs>
              <w:spacing w:after="200" w:line="276" w:lineRule="auto"/>
              <w:rPr>
                <w:rFonts w:cs="Arial"/>
                <w:szCs w:val="22"/>
              </w:rPr>
            </w:pPr>
          </w:p>
        </w:tc>
      </w:tr>
      <w:tr w:rsidR="008A2618" w:rsidTr="004B5979">
        <w:tc>
          <w:tcPr>
            <w:tcW w:w="7196" w:type="dxa"/>
            <w:gridSpan w:val="2"/>
          </w:tcPr>
          <w:p w:rsidR="008A2618" w:rsidRPr="008A2618" w:rsidRDefault="008A2618" w:rsidP="008A2618">
            <w:pPr>
              <w:pStyle w:val="Header"/>
              <w:tabs>
                <w:tab w:val="left" w:pos="720"/>
              </w:tabs>
              <w:spacing w:after="200" w:line="276" w:lineRule="auto"/>
              <w:rPr>
                <w:rFonts w:cs="Arial"/>
                <w:b/>
                <w:szCs w:val="22"/>
              </w:rPr>
            </w:pPr>
            <w:r w:rsidRPr="008A2618">
              <w:rPr>
                <w:rFonts w:cs="Arial"/>
                <w:b/>
                <w:szCs w:val="22"/>
              </w:rPr>
              <w:t>OUTCOME 3</w:t>
            </w:r>
          </w:p>
        </w:tc>
        <w:tc>
          <w:tcPr>
            <w:tcW w:w="1284" w:type="dxa"/>
          </w:tcPr>
          <w:p w:rsidR="008A2618" w:rsidRPr="004B5979" w:rsidRDefault="008A2618" w:rsidP="00C76CE4">
            <w:pPr>
              <w:pStyle w:val="Header"/>
              <w:tabs>
                <w:tab w:val="left" w:pos="720"/>
              </w:tabs>
              <w:spacing w:after="200" w:line="276" w:lineRule="auto"/>
              <w:rPr>
                <w:rFonts w:cs="Arial"/>
                <w:sz w:val="20"/>
              </w:rPr>
            </w:pPr>
          </w:p>
        </w:tc>
        <w:tc>
          <w:tcPr>
            <w:tcW w:w="912" w:type="dxa"/>
          </w:tcPr>
          <w:p w:rsidR="008A2618" w:rsidRDefault="008A2618" w:rsidP="00C76CE4">
            <w:pPr>
              <w:pStyle w:val="Header"/>
              <w:tabs>
                <w:tab w:val="left" w:pos="720"/>
              </w:tabs>
              <w:spacing w:after="200" w:line="276" w:lineRule="auto"/>
              <w:rPr>
                <w:rFonts w:cs="Arial"/>
                <w:szCs w:val="22"/>
              </w:rPr>
            </w:pPr>
          </w:p>
        </w:tc>
        <w:tc>
          <w:tcPr>
            <w:tcW w:w="4771" w:type="dxa"/>
          </w:tcPr>
          <w:p w:rsidR="008A2618" w:rsidRDefault="008A2618" w:rsidP="00C76CE4">
            <w:pPr>
              <w:pStyle w:val="Header"/>
              <w:tabs>
                <w:tab w:val="left" w:pos="720"/>
              </w:tabs>
              <w:spacing w:after="200" w:line="276" w:lineRule="auto"/>
              <w:rPr>
                <w:rFonts w:cs="Arial"/>
                <w:szCs w:val="22"/>
              </w:rPr>
            </w:pPr>
          </w:p>
        </w:tc>
      </w:tr>
      <w:tr w:rsidR="008A2618" w:rsidTr="006F06C1">
        <w:trPr>
          <w:trHeight w:val="668"/>
        </w:trPr>
        <w:tc>
          <w:tcPr>
            <w:tcW w:w="7196" w:type="dxa"/>
            <w:gridSpan w:val="2"/>
          </w:tcPr>
          <w:p w:rsidR="008A2618" w:rsidRDefault="008A2618" w:rsidP="008A2618">
            <w:pPr>
              <w:pStyle w:val="Header"/>
              <w:tabs>
                <w:tab w:val="left" w:pos="720"/>
              </w:tabs>
              <w:spacing w:after="200" w:line="276" w:lineRule="auto"/>
              <w:rPr>
                <w:rFonts w:cs="Arial"/>
                <w:szCs w:val="22"/>
              </w:rPr>
            </w:pPr>
            <w:r>
              <w:rPr>
                <w:rFonts w:cs="Arial"/>
                <w:szCs w:val="22"/>
              </w:rPr>
              <w:t>Calculates the contract close out figure</w:t>
            </w:r>
          </w:p>
          <w:p w:rsidR="008A2618" w:rsidRDefault="008A2618" w:rsidP="008A2618">
            <w:pPr>
              <w:pStyle w:val="Header"/>
              <w:tabs>
                <w:tab w:val="left" w:pos="720"/>
              </w:tabs>
              <w:spacing w:after="200" w:line="276" w:lineRule="auto"/>
              <w:rPr>
                <w:rFonts w:cs="Arial"/>
                <w:szCs w:val="22"/>
              </w:rPr>
            </w:pPr>
          </w:p>
        </w:tc>
        <w:tc>
          <w:tcPr>
            <w:tcW w:w="1284" w:type="dxa"/>
          </w:tcPr>
          <w:p w:rsidR="008A2618" w:rsidRPr="004B5979" w:rsidRDefault="008A2618" w:rsidP="00C76CE4">
            <w:pPr>
              <w:pStyle w:val="Header"/>
              <w:tabs>
                <w:tab w:val="left" w:pos="720"/>
              </w:tabs>
              <w:spacing w:after="200" w:line="276" w:lineRule="auto"/>
              <w:rPr>
                <w:rFonts w:cs="Arial"/>
                <w:sz w:val="20"/>
              </w:rPr>
            </w:pPr>
          </w:p>
        </w:tc>
        <w:tc>
          <w:tcPr>
            <w:tcW w:w="912" w:type="dxa"/>
          </w:tcPr>
          <w:p w:rsidR="008A2618" w:rsidRDefault="008A2618" w:rsidP="00C76CE4">
            <w:pPr>
              <w:pStyle w:val="Header"/>
              <w:tabs>
                <w:tab w:val="left" w:pos="720"/>
              </w:tabs>
              <w:spacing w:after="200" w:line="276" w:lineRule="auto"/>
              <w:rPr>
                <w:rFonts w:cs="Arial"/>
                <w:szCs w:val="22"/>
              </w:rPr>
            </w:pPr>
          </w:p>
        </w:tc>
        <w:tc>
          <w:tcPr>
            <w:tcW w:w="4771" w:type="dxa"/>
          </w:tcPr>
          <w:p w:rsidR="008A2618" w:rsidRDefault="008A2618" w:rsidP="00C76CE4">
            <w:pPr>
              <w:pStyle w:val="Header"/>
              <w:tabs>
                <w:tab w:val="left" w:pos="720"/>
              </w:tabs>
              <w:spacing w:after="200" w:line="276" w:lineRule="auto"/>
              <w:rPr>
                <w:rFonts w:cs="Arial"/>
                <w:szCs w:val="22"/>
              </w:rPr>
            </w:pPr>
          </w:p>
        </w:tc>
      </w:tr>
      <w:tr w:rsidR="008A2618" w:rsidTr="004B5979">
        <w:tc>
          <w:tcPr>
            <w:tcW w:w="7196" w:type="dxa"/>
            <w:gridSpan w:val="2"/>
          </w:tcPr>
          <w:p w:rsidR="008A2618" w:rsidRDefault="008A2618" w:rsidP="008A2618">
            <w:pPr>
              <w:pStyle w:val="Header"/>
              <w:tabs>
                <w:tab w:val="left" w:pos="720"/>
              </w:tabs>
              <w:spacing w:after="200" w:line="276" w:lineRule="auto"/>
              <w:rPr>
                <w:rFonts w:cs="Arial"/>
                <w:szCs w:val="22"/>
              </w:rPr>
            </w:pPr>
            <w:r>
              <w:rPr>
                <w:rFonts w:cs="Arial"/>
                <w:szCs w:val="22"/>
              </w:rPr>
              <w:t xml:space="preserve">Explains one advantage for the exporter and one advantage for the importer when using a Documentary Letter of Credit. </w:t>
            </w:r>
          </w:p>
        </w:tc>
        <w:tc>
          <w:tcPr>
            <w:tcW w:w="1284" w:type="dxa"/>
          </w:tcPr>
          <w:p w:rsidR="008A2618" w:rsidRPr="004B5979" w:rsidRDefault="008A2618" w:rsidP="00C76CE4">
            <w:pPr>
              <w:pStyle w:val="Header"/>
              <w:tabs>
                <w:tab w:val="left" w:pos="720"/>
              </w:tabs>
              <w:spacing w:after="200" w:line="276" w:lineRule="auto"/>
              <w:rPr>
                <w:rFonts w:cs="Arial"/>
                <w:sz w:val="20"/>
              </w:rPr>
            </w:pPr>
          </w:p>
        </w:tc>
        <w:tc>
          <w:tcPr>
            <w:tcW w:w="912" w:type="dxa"/>
          </w:tcPr>
          <w:p w:rsidR="008A2618" w:rsidRDefault="008A2618" w:rsidP="00C76CE4">
            <w:pPr>
              <w:pStyle w:val="Header"/>
              <w:tabs>
                <w:tab w:val="left" w:pos="720"/>
              </w:tabs>
              <w:spacing w:after="200" w:line="276" w:lineRule="auto"/>
              <w:rPr>
                <w:rFonts w:cs="Arial"/>
                <w:szCs w:val="22"/>
              </w:rPr>
            </w:pPr>
          </w:p>
        </w:tc>
        <w:tc>
          <w:tcPr>
            <w:tcW w:w="4771" w:type="dxa"/>
          </w:tcPr>
          <w:p w:rsidR="008A2618" w:rsidRDefault="008A2618" w:rsidP="00C76CE4">
            <w:pPr>
              <w:pStyle w:val="Header"/>
              <w:tabs>
                <w:tab w:val="left" w:pos="720"/>
              </w:tabs>
              <w:spacing w:after="200" w:line="276" w:lineRule="auto"/>
              <w:rPr>
                <w:rFonts w:cs="Arial"/>
                <w:szCs w:val="22"/>
              </w:rPr>
            </w:pPr>
          </w:p>
        </w:tc>
      </w:tr>
    </w:tbl>
    <w:p w:rsidR="004B5979" w:rsidRDefault="004B5979" w:rsidP="00C76CE4">
      <w:pPr>
        <w:pStyle w:val="Header"/>
        <w:tabs>
          <w:tab w:val="left" w:pos="720"/>
        </w:tabs>
        <w:spacing w:after="200" w:line="276" w:lineRule="auto"/>
        <w:rPr>
          <w:rFonts w:cs="Arial"/>
          <w:szCs w:val="22"/>
        </w:rPr>
      </w:pPr>
    </w:p>
    <w:p w:rsidR="00C76CE4" w:rsidRPr="0028060A" w:rsidRDefault="00C76CE4" w:rsidP="00C76CE4">
      <w:pPr>
        <w:pStyle w:val="Header"/>
        <w:tabs>
          <w:tab w:val="left" w:pos="720"/>
        </w:tabs>
        <w:spacing w:after="200" w:line="276" w:lineRule="auto"/>
        <w:rPr>
          <w:rFonts w:cs="Arial"/>
          <w:szCs w:val="22"/>
        </w:rPr>
      </w:pPr>
    </w:p>
    <w:p w:rsidR="00C76CE4" w:rsidRPr="0028060A" w:rsidRDefault="00C76CE4" w:rsidP="006D0A24">
      <w:pPr>
        <w:rPr>
          <w:rFonts w:ascii="Arial" w:hAnsi="Arial" w:cs="Arial"/>
        </w:rPr>
      </w:pPr>
    </w:p>
    <w:p w:rsidR="008A2618" w:rsidRDefault="008A2618">
      <w:pPr>
        <w:rPr>
          <w:rFonts w:ascii="Arial" w:hAnsi="Arial" w:cs="Arial"/>
          <w:color w:val="000000"/>
        </w:rPr>
      </w:pPr>
      <w:r>
        <w:br w:type="page"/>
      </w:r>
    </w:p>
    <w:p w:rsidR="006D0A24" w:rsidRPr="00401409" w:rsidRDefault="006E18D6" w:rsidP="0028060A">
      <w:pPr>
        <w:pStyle w:val="Default"/>
        <w:rPr>
          <w:rFonts w:ascii="Bradley Hand ITC" w:hAnsi="Bradley Hand ITC"/>
          <w:i/>
          <w:sz w:val="44"/>
          <w:szCs w:val="44"/>
        </w:rPr>
      </w:pPr>
      <w:r w:rsidRPr="00401409">
        <w:rPr>
          <w:rFonts w:ascii="Bradley Hand ITC" w:hAnsi="Bradley Hand ITC"/>
          <w:i/>
          <w:sz w:val="44"/>
          <w:szCs w:val="44"/>
        </w:rPr>
        <w:lastRenderedPageBreak/>
        <w:t>Candidate Shanghai Hilton   SCN 123456789</w:t>
      </w:r>
    </w:p>
    <w:p w:rsidR="006E18D6" w:rsidRPr="00401409" w:rsidRDefault="006E18D6" w:rsidP="0028060A">
      <w:pPr>
        <w:pStyle w:val="Default"/>
        <w:rPr>
          <w:rFonts w:ascii="Bradley Hand ITC" w:hAnsi="Bradley Hand ITC"/>
          <w:i/>
          <w:sz w:val="44"/>
          <w:szCs w:val="44"/>
        </w:rPr>
      </w:pPr>
    </w:p>
    <w:p w:rsidR="006E18D6" w:rsidRPr="00401409" w:rsidRDefault="006E18D6" w:rsidP="006E18D6">
      <w:pPr>
        <w:rPr>
          <w:rFonts w:ascii="Bradley Hand ITC" w:hAnsi="Bradley Hand ITC"/>
          <w:i/>
          <w:sz w:val="44"/>
          <w:szCs w:val="44"/>
        </w:rPr>
      </w:pPr>
      <w:r w:rsidRPr="00401409">
        <w:rPr>
          <w:rFonts w:ascii="Bradley Hand ITC" w:hAnsi="Bradley Hand ITC"/>
          <w:i/>
          <w:sz w:val="44"/>
          <w:szCs w:val="44"/>
        </w:rPr>
        <w:t xml:space="preserve">1.  </w:t>
      </w: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Ann can cash in the certificate with money being sent to her bank account.</w:t>
      </w: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She can renew for a longer time or she can renew for the same length of time as her original certificate.</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2.</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Mary’s options are to take up the rights by paying for them by sending money by the date on the form to the share registrar or the name on the letter, to sell the rights, to take up some of the rights or to do nothing.</w:t>
      </w: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3.</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 xml:space="preserve">Her pension is a defined final salary scheme with benefit.  She will get benefits on a fraction from her salary at the end. She contributes or </w:t>
      </w:r>
      <w:r w:rsidRPr="00401409">
        <w:rPr>
          <w:rFonts w:ascii="Bradley Hand ITC" w:hAnsi="Bradley Hand ITC" w:cs="Arial"/>
          <w:i/>
          <w:sz w:val="44"/>
          <w:szCs w:val="44"/>
        </w:rPr>
        <w:lastRenderedPageBreak/>
        <w:t>not and has sum and pension or can choose different.</w:t>
      </w: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It is good for Sue as she has no risk for this pension.</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4a</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John is on his working alone with large number of clients so he can say he is an expert.</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4b.</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The surgeon is a professional man but he is not in the profession of finance so Sam is wrong.</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5.</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 xml:space="preserve">Under the Financial Services Compensation Scheme the compensation is per person. </w:t>
      </w: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Matthew and his wife have total balances of £163,000 and so they will be covered as the compensation limit is £85,000 per person</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t>6.</w:t>
      </w:r>
    </w:p>
    <w:p w:rsidR="006E18D6" w:rsidRPr="00401409" w:rsidRDefault="006E18D6" w:rsidP="006E18D6">
      <w:pPr>
        <w:pStyle w:val="Default"/>
        <w:rPr>
          <w:rFonts w:ascii="Bradley Hand ITC" w:hAnsi="Bradley Hand ITC"/>
          <w:i/>
          <w:sz w:val="44"/>
          <w:szCs w:val="44"/>
        </w:rPr>
      </w:pP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At start it will be a sale as a two month contract</w:t>
      </w:r>
    </w:p>
    <w:p w:rsidR="006E18D6" w:rsidRPr="00401409" w:rsidRDefault="006E18D6" w:rsidP="006E18D6">
      <w:pPr>
        <w:rPr>
          <w:rFonts w:ascii="Bradley Hand ITC" w:hAnsi="Bradley Hand ITC" w:cs="Arial"/>
          <w:i/>
          <w:sz w:val="44"/>
          <w:szCs w:val="44"/>
        </w:rPr>
      </w:pPr>
      <w:proofErr w:type="gramStart"/>
      <w:r w:rsidRPr="00401409">
        <w:rPr>
          <w:rFonts w:ascii="Bradley Hand ITC" w:hAnsi="Bradley Hand ITC" w:cs="Arial"/>
          <w:i/>
          <w:sz w:val="44"/>
          <w:szCs w:val="44"/>
        </w:rPr>
        <w:t>Sell  $</w:t>
      </w:r>
      <w:proofErr w:type="gramEnd"/>
      <w:r w:rsidRPr="00401409">
        <w:rPr>
          <w:rFonts w:ascii="Bradley Hand ITC" w:hAnsi="Bradley Hand ITC" w:cs="Arial"/>
          <w:i/>
          <w:sz w:val="44"/>
          <w:szCs w:val="44"/>
        </w:rPr>
        <w:t>80,000 at 1.8278 = £43768.81 CR</w:t>
      </w: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To close out he will have to buy at 1.7239 (1.725-0.0011) rate = £46405.87 DR</w:t>
      </w: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So he loses £46405.87-£43768.81) = £2637.06</w:t>
      </w: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7.</w:t>
      </w:r>
    </w:p>
    <w:p w:rsidR="006E18D6" w:rsidRPr="00401409" w:rsidRDefault="006E18D6" w:rsidP="006E18D6">
      <w:pPr>
        <w:rPr>
          <w:rFonts w:ascii="Bradley Hand ITC" w:hAnsi="Bradley Hand ITC" w:cs="Arial"/>
          <w:i/>
          <w:sz w:val="44"/>
          <w:szCs w:val="44"/>
        </w:rPr>
      </w:pPr>
      <w:r w:rsidRPr="00401409">
        <w:rPr>
          <w:rFonts w:ascii="Bradley Hand ITC" w:hAnsi="Bradley Hand ITC" w:cs="Arial"/>
          <w:i/>
          <w:sz w:val="44"/>
          <w:szCs w:val="44"/>
        </w:rPr>
        <w:t>A documentary credit is really helpful to an exporter who might be working with someone they cannot know.  So they do not know if the money will come but if they have a credit it will come.  The bank will say it will come.</w:t>
      </w:r>
    </w:p>
    <w:p w:rsidR="006E18D6" w:rsidRPr="00401409" w:rsidRDefault="006E18D6">
      <w:pPr>
        <w:rPr>
          <w:rFonts w:ascii="Bradley Hand ITC" w:hAnsi="Bradley Hand ITC" w:cs="Arial"/>
          <w:color w:val="000000"/>
        </w:rPr>
      </w:pPr>
      <w:r w:rsidRPr="00401409">
        <w:rPr>
          <w:rFonts w:ascii="Bradley Hand ITC" w:hAnsi="Bradley Hand ITC" w:cs="Arial"/>
          <w:i/>
          <w:sz w:val="44"/>
          <w:szCs w:val="44"/>
        </w:rPr>
        <w:t>But the importer does not know if the goods will come or if they will be bad so they do not want to have bad goods so the documentary credit gives them help because they will have documents they have asked for to show the goods are OK before they have to pay.  And they will know they are in their country and not still in the sea.</w:t>
      </w:r>
      <w:r w:rsidRPr="00401409">
        <w:rPr>
          <w:rFonts w:ascii="Bradley Hand ITC" w:hAnsi="Bradley Hand ITC"/>
        </w:rPr>
        <w:br w:type="page"/>
      </w:r>
    </w:p>
    <w:p w:rsidR="006E18D6" w:rsidRPr="00401409" w:rsidRDefault="006E18D6" w:rsidP="006E18D6">
      <w:pPr>
        <w:pStyle w:val="Default"/>
        <w:rPr>
          <w:rFonts w:ascii="Bradley Hand ITC" w:hAnsi="Bradley Hand ITC"/>
          <w:i/>
          <w:sz w:val="44"/>
          <w:szCs w:val="44"/>
        </w:rPr>
      </w:pPr>
      <w:r w:rsidRPr="00401409">
        <w:rPr>
          <w:rFonts w:ascii="Bradley Hand ITC" w:hAnsi="Bradley Hand ITC"/>
          <w:i/>
          <w:sz w:val="44"/>
          <w:szCs w:val="44"/>
        </w:rPr>
        <w:lastRenderedPageBreak/>
        <w:t>Candidate Shanghai Hilton   SCN 123456789 REDO</w:t>
      </w:r>
    </w:p>
    <w:p w:rsidR="002E6767" w:rsidRPr="00401409" w:rsidRDefault="002E6767" w:rsidP="006E18D6">
      <w:pPr>
        <w:pStyle w:val="Default"/>
        <w:rPr>
          <w:rFonts w:ascii="Bradley Hand ITC" w:hAnsi="Bradley Hand ITC"/>
          <w:i/>
          <w:sz w:val="44"/>
          <w:szCs w:val="44"/>
        </w:rPr>
      </w:pPr>
    </w:p>
    <w:p w:rsidR="002E6767" w:rsidRPr="00401409" w:rsidRDefault="002E6767" w:rsidP="006E18D6">
      <w:pPr>
        <w:pStyle w:val="Default"/>
        <w:rPr>
          <w:rFonts w:ascii="Bradley Hand ITC" w:hAnsi="Bradley Hand ITC"/>
          <w:i/>
          <w:sz w:val="44"/>
          <w:szCs w:val="44"/>
        </w:rPr>
      </w:pPr>
      <w:r w:rsidRPr="00401409">
        <w:rPr>
          <w:rFonts w:ascii="Bradley Hand ITC" w:hAnsi="Bradley Hand ITC"/>
          <w:i/>
          <w:sz w:val="44"/>
          <w:szCs w:val="44"/>
        </w:rPr>
        <w:t>1.</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Ann can cash in the certificate with money being sent to her bank account.</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She can renew for a longer time or she can renew for the same length of time as her original certificate.  But she will only get the interest rate that is being offered today.</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2.</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Mary’s options are to take up the rights by paying for them by sending money by the date on the form to the share registrar or the name on the letter.  She could sell the </w:t>
      </w:r>
      <w:proofErr w:type="gramStart"/>
      <w:r w:rsidRPr="00401409">
        <w:rPr>
          <w:rFonts w:ascii="Bradley Hand ITC" w:hAnsi="Bradley Hand ITC"/>
          <w:i/>
          <w:sz w:val="44"/>
          <w:szCs w:val="44"/>
        </w:rPr>
        <w:t>rights  herself</w:t>
      </w:r>
      <w:proofErr w:type="gramEnd"/>
      <w:r w:rsidRPr="00401409">
        <w:rPr>
          <w:rFonts w:ascii="Bradley Hand ITC" w:hAnsi="Bradley Hand ITC"/>
          <w:i/>
          <w:sz w:val="44"/>
          <w:szCs w:val="44"/>
        </w:rPr>
        <w:t xml:space="preserve"> but maybe she does not have enough money to buy them so she  could take up some of the rights if she sells them or she could do nothing.  She will get some money if she does nothing.</w:t>
      </w:r>
    </w:p>
    <w:p w:rsidR="002E6767" w:rsidRPr="00401409" w:rsidRDefault="002E6767" w:rsidP="002E6767">
      <w:pPr>
        <w:pStyle w:val="Default"/>
        <w:rPr>
          <w:rFonts w:ascii="Bradley Hand ITC" w:hAnsi="Bradley Hand ITC"/>
          <w:i/>
          <w:sz w:val="44"/>
          <w:szCs w:val="44"/>
        </w:rPr>
      </w:pPr>
    </w:p>
    <w:p w:rsidR="002E6767" w:rsidRPr="00401409" w:rsidRDefault="002E6767" w:rsidP="006E18D6">
      <w:pPr>
        <w:pStyle w:val="Default"/>
        <w:rPr>
          <w:rFonts w:ascii="Bradley Hand ITC" w:hAnsi="Bradley Hand ITC"/>
          <w:i/>
          <w:sz w:val="44"/>
          <w:szCs w:val="44"/>
        </w:rPr>
      </w:pPr>
      <w:r w:rsidRPr="00401409">
        <w:rPr>
          <w:rFonts w:ascii="Bradley Hand ITC" w:hAnsi="Bradley Hand ITC"/>
          <w:i/>
          <w:sz w:val="44"/>
          <w:szCs w:val="44"/>
        </w:rPr>
        <w:t>3.</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Her </w:t>
      </w:r>
      <w:proofErr w:type="gramStart"/>
      <w:r w:rsidRPr="00401409">
        <w:rPr>
          <w:rFonts w:ascii="Bradley Hand ITC" w:hAnsi="Bradley Hand ITC"/>
          <w:i/>
          <w:sz w:val="44"/>
          <w:szCs w:val="44"/>
        </w:rPr>
        <w:t>pension  is</w:t>
      </w:r>
      <w:proofErr w:type="gramEnd"/>
      <w:r w:rsidRPr="00401409">
        <w:rPr>
          <w:rFonts w:ascii="Bradley Hand ITC" w:hAnsi="Bradley Hand ITC"/>
          <w:i/>
          <w:sz w:val="44"/>
          <w:szCs w:val="44"/>
        </w:rPr>
        <w:t xml:space="preserve"> a defined benefit final salary scheme.  She will get benefits on a fraction from her salary in the last year or three years like </w:t>
      </w:r>
      <w:r w:rsidRPr="00401409">
        <w:rPr>
          <w:rFonts w:ascii="Bradley Hand ITC" w:hAnsi="Bradley Hand ITC"/>
          <w:i/>
          <w:sz w:val="44"/>
          <w:szCs w:val="44"/>
        </w:rPr>
        <w:lastRenderedPageBreak/>
        <w:t>1/60th and then it is multiplied by how long she worked for. She might contributes or not to the pension.  When she retires she can have a pension or a sum and pension she chooses.</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It is good for Sue as she will get a pension despite the stock market it is her employer who has the risk.</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4a</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John is working as an adviser and he is independent because he is not part of a large company but he is not offering many products so is restricted.</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4b</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He cannot call Sam </w:t>
      </w:r>
      <w:proofErr w:type="gramStart"/>
      <w:r w:rsidRPr="00401409">
        <w:rPr>
          <w:rFonts w:ascii="Bradley Hand ITC" w:hAnsi="Bradley Hand ITC"/>
          <w:i/>
          <w:sz w:val="44"/>
          <w:szCs w:val="44"/>
        </w:rPr>
        <w:t>a professional clients</w:t>
      </w:r>
      <w:proofErr w:type="gramEnd"/>
      <w:r w:rsidRPr="00401409">
        <w:rPr>
          <w:rFonts w:ascii="Bradley Hand ITC" w:hAnsi="Bradley Hand ITC"/>
          <w:i/>
          <w:sz w:val="44"/>
          <w:szCs w:val="44"/>
        </w:rPr>
        <w:t xml:space="preserve"> because he is not an expert in finance and as he will needs advice about risk he is a professional surgeon but not a professional client.  </w:t>
      </w:r>
    </w:p>
    <w:p w:rsidR="002E6767" w:rsidRPr="00401409" w:rsidRDefault="002E6767" w:rsidP="002E6767">
      <w:pPr>
        <w:pStyle w:val="Default"/>
        <w:rPr>
          <w:rFonts w:ascii="Bradley Hand ITC" w:hAnsi="Bradley Hand ITC"/>
          <w:i/>
          <w:sz w:val="44"/>
          <w:szCs w:val="44"/>
        </w:rPr>
      </w:pP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5.</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Under the Financial Services Compensation Scheme the compensation is per person. </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Matthew and his wife are entitled to maximum compensation limit of £75,000 per person so </w:t>
      </w:r>
      <w:r w:rsidRPr="00401409">
        <w:rPr>
          <w:rFonts w:ascii="Bradley Hand ITC" w:hAnsi="Bradley Hand ITC"/>
          <w:i/>
          <w:sz w:val="44"/>
          <w:szCs w:val="44"/>
        </w:rPr>
        <w:lastRenderedPageBreak/>
        <w:t>they will receive £150,000 under the scheme and would probably lose £13,000</w:t>
      </w:r>
    </w:p>
    <w:p w:rsidR="002E6767" w:rsidRPr="00401409" w:rsidRDefault="002E6767" w:rsidP="006E18D6">
      <w:pPr>
        <w:pStyle w:val="Default"/>
        <w:rPr>
          <w:rFonts w:ascii="Bradley Hand ITC" w:hAnsi="Bradley Hand ITC"/>
          <w:i/>
          <w:sz w:val="44"/>
          <w:szCs w:val="44"/>
        </w:rPr>
      </w:pPr>
      <w:r w:rsidRPr="00401409">
        <w:rPr>
          <w:rFonts w:ascii="Bradley Hand ITC" w:hAnsi="Bradley Hand ITC"/>
          <w:i/>
          <w:sz w:val="44"/>
          <w:szCs w:val="44"/>
        </w:rPr>
        <w:t>6.</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It will be a one month contract to be at the Banks advantage</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(1.825+0.0040 = 1.8254) </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xml:space="preserve">The contract will credit Nigel £43826.01 </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To close he needs to buy at 1.725</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£46376.81</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So he loses £46376.81-£43286.01</w:t>
      </w:r>
    </w:p>
    <w:p w:rsidR="002E6767" w:rsidRPr="00401409" w:rsidRDefault="002E6767" w:rsidP="002E6767">
      <w:pPr>
        <w:pStyle w:val="Default"/>
        <w:rPr>
          <w:rFonts w:ascii="Bradley Hand ITC" w:hAnsi="Bradley Hand ITC"/>
          <w:i/>
          <w:sz w:val="44"/>
          <w:szCs w:val="44"/>
        </w:rPr>
      </w:pPr>
      <w:r w:rsidRPr="00401409">
        <w:rPr>
          <w:rFonts w:ascii="Bradley Hand ITC" w:hAnsi="Bradley Hand ITC"/>
          <w:i/>
          <w:sz w:val="44"/>
          <w:szCs w:val="44"/>
        </w:rPr>
        <w:t>= £3090.80</w:t>
      </w:r>
    </w:p>
    <w:p w:rsidR="002E6767" w:rsidRPr="00C86AD6" w:rsidRDefault="002E6767" w:rsidP="002E6767">
      <w:pPr>
        <w:pStyle w:val="Default"/>
        <w:rPr>
          <w:rFonts w:ascii="Freestyle Script" w:hAnsi="Freestyle Script"/>
          <w:i/>
          <w:sz w:val="44"/>
          <w:szCs w:val="44"/>
        </w:rPr>
      </w:pPr>
    </w:p>
    <w:p w:rsidR="002E6767" w:rsidRPr="00C86AD6" w:rsidRDefault="002E6767" w:rsidP="002E6767">
      <w:pPr>
        <w:pStyle w:val="Default"/>
        <w:rPr>
          <w:rFonts w:ascii="Freestyle Script" w:hAnsi="Freestyle Script"/>
          <w:i/>
          <w:sz w:val="44"/>
          <w:szCs w:val="44"/>
        </w:rPr>
      </w:pPr>
    </w:p>
    <w:p w:rsidR="002E6767" w:rsidRPr="00C86AD6" w:rsidRDefault="002E6767" w:rsidP="006E18D6">
      <w:pPr>
        <w:pStyle w:val="Default"/>
        <w:rPr>
          <w:rFonts w:ascii="Freestyle Script" w:hAnsi="Freestyle Script"/>
          <w:i/>
          <w:sz w:val="44"/>
          <w:szCs w:val="44"/>
        </w:rPr>
      </w:pPr>
    </w:p>
    <w:p w:rsidR="006E18D6" w:rsidRPr="00C86AD6" w:rsidRDefault="006E18D6" w:rsidP="006E18D6">
      <w:pPr>
        <w:pStyle w:val="Default"/>
        <w:rPr>
          <w:rFonts w:ascii="Freestyle Script" w:hAnsi="Freestyle Script"/>
          <w:i/>
          <w:sz w:val="44"/>
          <w:szCs w:val="44"/>
        </w:rPr>
      </w:pPr>
    </w:p>
    <w:p w:rsidR="006E18D6" w:rsidRPr="00C86AD6" w:rsidRDefault="006E18D6" w:rsidP="006E18D6">
      <w:pPr>
        <w:pStyle w:val="Default"/>
        <w:rPr>
          <w:rFonts w:ascii="Freestyle Script" w:hAnsi="Freestyle Script"/>
          <w:i/>
          <w:sz w:val="44"/>
          <w:szCs w:val="44"/>
        </w:rPr>
      </w:pPr>
    </w:p>
    <w:p w:rsidR="006E18D6" w:rsidRPr="00C86AD6" w:rsidRDefault="006E18D6" w:rsidP="006E18D6">
      <w:pPr>
        <w:pStyle w:val="Default"/>
        <w:rPr>
          <w:rFonts w:ascii="Freestyle Script" w:hAnsi="Freestyle Script"/>
          <w:sz w:val="22"/>
          <w:szCs w:val="22"/>
        </w:rPr>
      </w:pPr>
    </w:p>
    <w:p w:rsidR="006E18D6" w:rsidRPr="00C86AD6" w:rsidRDefault="006E18D6" w:rsidP="006E18D6">
      <w:pPr>
        <w:pStyle w:val="Default"/>
        <w:rPr>
          <w:rFonts w:ascii="Freestyle Script" w:hAnsi="Freestyle Script"/>
          <w:sz w:val="22"/>
          <w:szCs w:val="22"/>
        </w:rPr>
      </w:pPr>
    </w:p>
    <w:p w:rsidR="006E18D6" w:rsidRPr="00C86AD6" w:rsidRDefault="006E18D6" w:rsidP="006E18D6">
      <w:pPr>
        <w:pStyle w:val="Default"/>
        <w:rPr>
          <w:rFonts w:ascii="Freestyle Script" w:hAnsi="Freestyle Script"/>
          <w:sz w:val="22"/>
          <w:szCs w:val="22"/>
        </w:rPr>
      </w:pPr>
    </w:p>
    <w:p w:rsidR="006E18D6" w:rsidRPr="00C86AD6" w:rsidRDefault="006E18D6" w:rsidP="006E18D6">
      <w:pPr>
        <w:pStyle w:val="Default"/>
        <w:rPr>
          <w:rFonts w:ascii="Freestyle Script" w:hAnsi="Freestyle Script"/>
          <w:sz w:val="22"/>
          <w:szCs w:val="22"/>
        </w:rPr>
      </w:pPr>
    </w:p>
    <w:sectPr w:rsidR="006E18D6" w:rsidRPr="00C86AD6" w:rsidSect="008A26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EF" w:rsidRDefault="00D802EF" w:rsidP="006F06C1">
      <w:pPr>
        <w:spacing w:after="0" w:line="240" w:lineRule="auto"/>
      </w:pPr>
      <w:r>
        <w:separator/>
      </w:r>
    </w:p>
  </w:endnote>
  <w:endnote w:type="continuationSeparator" w:id="0">
    <w:p w:rsidR="00D802EF" w:rsidRDefault="00D802EF" w:rsidP="006F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C1" w:rsidRDefault="006F06C1">
    <w:pPr>
      <w:pStyle w:val="Footer"/>
    </w:pPr>
    <w:r>
      <w:t xml:space="preserve">Assessment Workshop Financial Services Assessment Checklist IN PACK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EF" w:rsidRDefault="00D802EF" w:rsidP="006F06C1">
      <w:pPr>
        <w:spacing w:after="0" w:line="240" w:lineRule="auto"/>
      </w:pPr>
      <w:r>
        <w:separator/>
      </w:r>
    </w:p>
  </w:footnote>
  <w:footnote w:type="continuationSeparator" w:id="0">
    <w:p w:rsidR="00D802EF" w:rsidRDefault="00D802EF" w:rsidP="006F0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D8"/>
    <w:multiLevelType w:val="hybridMultilevel"/>
    <w:tmpl w:val="B47686F2"/>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24F40"/>
    <w:multiLevelType w:val="hybridMultilevel"/>
    <w:tmpl w:val="30160B9A"/>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261CD"/>
    <w:multiLevelType w:val="hybridMultilevel"/>
    <w:tmpl w:val="A3824A56"/>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379F1"/>
    <w:multiLevelType w:val="hybridMultilevel"/>
    <w:tmpl w:val="BF2A3B00"/>
    <w:lvl w:ilvl="0" w:tplc="031C86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7C04A6"/>
    <w:multiLevelType w:val="hybridMultilevel"/>
    <w:tmpl w:val="020283EC"/>
    <w:lvl w:ilvl="0" w:tplc="08090001">
      <w:start w:val="1"/>
      <w:numFmt w:val="bullet"/>
      <w:lvlText w:val=""/>
      <w:lvlJc w:val="left"/>
      <w:pPr>
        <w:tabs>
          <w:tab w:val="num" w:pos="720"/>
        </w:tabs>
        <w:ind w:left="720" w:hanging="360"/>
      </w:pPr>
      <w:rPr>
        <w:rFonts w:ascii="Symbol" w:hAnsi="Symbol" w:hint="default"/>
      </w:rPr>
    </w:lvl>
    <w:lvl w:ilvl="1" w:tplc="0CEC1CC2">
      <w:start w:val="36"/>
      <w:numFmt w:val="decimal"/>
      <w:lvlText w:val="%2."/>
      <w:lvlJc w:val="left"/>
      <w:pPr>
        <w:tabs>
          <w:tab w:val="num" w:pos="1440"/>
        </w:tabs>
        <w:ind w:left="1440" w:hanging="360"/>
      </w:pPr>
      <w:rPr>
        <w:rFonts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7F36B6"/>
    <w:multiLevelType w:val="hybridMultilevel"/>
    <w:tmpl w:val="400A2DD8"/>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5A3692"/>
    <w:multiLevelType w:val="hybridMultilevel"/>
    <w:tmpl w:val="677C6942"/>
    <w:lvl w:ilvl="0" w:tplc="031C862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AC6D1A"/>
    <w:multiLevelType w:val="hybridMultilevel"/>
    <w:tmpl w:val="2EF25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F8348B"/>
    <w:multiLevelType w:val="hybridMultilevel"/>
    <w:tmpl w:val="D5022D94"/>
    <w:lvl w:ilvl="0" w:tplc="031C86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63"/>
    <w:rsid w:val="00023E6C"/>
    <w:rsid w:val="000A0E68"/>
    <w:rsid w:val="000F190B"/>
    <w:rsid w:val="00125319"/>
    <w:rsid w:val="00156FE0"/>
    <w:rsid w:val="001A428E"/>
    <w:rsid w:val="001D7E59"/>
    <w:rsid w:val="001F33CC"/>
    <w:rsid w:val="001F7178"/>
    <w:rsid w:val="0028060A"/>
    <w:rsid w:val="002E6767"/>
    <w:rsid w:val="00331605"/>
    <w:rsid w:val="003C153C"/>
    <w:rsid w:val="004002EF"/>
    <w:rsid w:val="00401409"/>
    <w:rsid w:val="004340AB"/>
    <w:rsid w:val="0045736E"/>
    <w:rsid w:val="004B5979"/>
    <w:rsid w:val="004C35E4"/>
    <w:rsid w:val="004E1A30"/>
    <w:rsid w:val="00501CF9"/>
    <w:rsid w:val="005B616E"/>
    <w:rsid w:val="005C1E9D"/>
    <w:rsid w:val="00605881"/>
    <w:rsid w:val="006702D7"/>
    <w:rsid w:val="006B131E"/>
    <w:rsid w:val="006B61A8"/>
    <w:rsid w:val="006C40FB"/>
    <w:rsid w:val="006D0A24"/>
    <w:rsid w:val="006E18D6"/>
    <w:rsid w:val="006F06C1"/>
    <w:rsid w:val="007014C1"/>
    <w:rsid w:val="007C2466"/>
    <w:rsid w:val="0085086D"/>
    <w:rsid w:val="008A2618"/>
    <w:rsid w:val="0098288D"/>
    <w:rsid w:val="00A81B02"/>
    <w:rsid w:val="00AB3893"/>
    <w:rsid w:val="00B176E3"/>
    <w:rsid w:val="00B77FE8"/>
    <w:rsid w:val="00BA61D2"/>
    <w:rsid w:val="00BC4387"/>
    <w:rsid w:val="00BF2F1C"/>
    <w:rsid w:val="00C24243"/>
    <w:rsid w:val="00C55209"/>
    <w:rsid w:val="00C76CE4"/>
    <w:rsid w:val="00C86AD6"/>
    <w:rsid w:val="00CA4F72"/>
    <w:rsid w:val="00CB6E71"/>
    <w:rsid w:val="00D802EF"/>
    <w:rsid w:val="00D97163"/>
    <w:rsid w:val="00DB4900"/>
    <w:rsid w:val="00E8601A"/>
    <w:rsid w:val="00EF6455"/>
    <w:rsid w:val="00F74E0C"/>
    <w:rsid w:val="00F864C4"/>
    <w:rsid w:val="00FE4E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81"/>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605881"/>
    <w:rPr>
      <w:rFonts w:ascii="Arial" w:eastAsia="Times New Roman" w:hAnsi="Arial" w:cs="Times New Roman"/>
      <w:szCs w:val="20"/>
    </w:rPr>
  </w:style>
  <w:style w:type="paragraph" w:customStyle="1" w:styleId="Figure">
    <w:name w:val="Figure"/>
    <w:basedOn w:val="BodyText"/>
    <w:rsid w:val="00605881"/>
    <w:pPr>
      <w:tabs>
        <w:tab w:val="left" w:pos="1418"/>
      </w:tabs>
      <w:suppressAutoHyphens/>
      <w:spacing w:after="0" w:line="240" w:lineRule="auto"/>
    </w:pPr>
    <w:rPr>
      <w:rFonts w:ascii="Helvetica" w:eastAsia="Times New Roman" w:hAnsi="Helvetica" w:cs="Times New Roman"/>
      <w:i/>
      <w:szCs w:val="20"/>
    </w:rPr>
  </w:style>
  <w:style w:type="paragraph" w:styleId="BodyText">
    <w:name w:val="Body Text"/>
    <w:basedOn w:val="Normal"/>
    <w:link w:val="BodyTextChar"/>
    <w:uiPriority w:val="99"/>
    <w:semiHidden/>
    <w:unhideWhenUsed/>
    <w:rsid w:val="00605881"/>
    <w:pPr>
      <w:spacing w:after="120"/>
    </w:pPr>
  </w:style>
  <w:style w:type="character" w:customStyle="1" w:styleId="BodyTextChar">
    <w:name w:val="Body Text Char"/>
    <w:basedOn w:val="DefaultParagraphFont"/>
    <w:link w:val="BodyText"/>
    <w:uiPriority w:val="99"/>
    <w:semiHidden/>
    <w:rsid w:val="00605881"/>
  </w:style>
  <w:style w:type="paragraph" w:customStyle="1" w:styleId="Default">
    <w:name w:val="Default"/>
    <w:rsid w:val="005B616E"/>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6F06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0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5881"/>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605881"/>
    <w:rPr>
      <w:rFonts w:ascii="Arial" w:eastAsia="Times New Roman" w:hAnsi="Arial" w:cs="Times New Roman"/>
      <w:szCs w:val="20"/>
    </w:rPr>
  </w:style>
  <w:style w:type="paragraph" w:customStyle="1" w:styleId="Figure">
    <w:name w:val="Figure"/>
    <w:basedOn w:val="BodyText"/>
    <w:rsid w:val="00605881"/>
    <w:pPr>
      <w:tabs>
        <w:tab w:val="left" w:pos="1418"/>
      </w:tabs>
      <w:suppressAutoHyphens/>
      <w:spacing w:after="0" w:line="240" w:lineRule="auto"/>
    </w:pPr>
    <w:rPr>
      <w:rFonts w:ascii="Helvetica" w:eastAsia="Times New Roman" w:hAnsi="Helvetica" w:cs="Times New Roman"/>
      <w:i/>
      <w:szCs w:val="20"/>
    </w:rPr>
  </w:style>
  <w:style w:type="paragraph" w:styleId="BodyText">
    <w:name w:val="Body Text"/>
    <w:basedOn w:val="Normal"/>
    <w:link w:val="BodyTextChar"/>
    <w:uiPriority w:val="99"/>
    <w:semiHidden/>
    <w:unhideWhenUsed/>
    <w:rsid w:val="00605881"/>
    <w:pPr>
      <w:spacing w:after="120"/>
    </w:pPr>
  </w:style>
  <w:style w:type="character" w:customStyle="1" w:styleId="BodyTextChar">
    <w:name w:val="Body Text Char"/>
    <w:basedOn w:val="DefaultParagraphFont"/>
    <w:link w:val="BodyText"/>
    <w:uiPriority w:val="99"/>
    <w:semiHidden/>
    <w:rsid w:val="00605881"/>
  </w:style>
  <w:style w:type="paragraph" w:customStyle="1" w:styleId="Default">
    <w:name w:val="Default"/>
    <w:rsid w:val="005B616E"/>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6F06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1033">
      <w:bodyDiv w:val="1"/>
      <w:marLeft w:val="0"/>
      <w:marRight w:val="0"/>
      <w:marTop w:val="0"/>
      <w:marBottom w:val="0"/>
      <w:divBdr>
        <w:top w:val="none" w:sz="0" w:space="0" w:color="auto"/>
        <w:left w:val="none" w:sz="0" w:space="0" w:color="auto"/>
        <w:bottom w:val="none" w:sz="0" w:space="0" w:color="auto"/>
        <w:right w:val="none" w:sz="0" w:space="0" w:color="auto"/>
      </w:divBdr>
      <w:divsChild>
        <w:div w:id="1407070195">
          <w:marLeft w:val="0"/>
          <w:marRight w:val="0"/>
          <w:marTop w:val="495"/>
          <w:marBottom w:val="0"/>
          <w:divBdr>
            <w:top w:val="none" w:sz="0" w:space="0" w:color="auto"/>
            <w:left w:val="none" w:sz="0" w:space="0" w:color="auto"/>
            <w:bottom w:val="none" w:sz="0" w:space="0" w:color="auto"/>
            <w:right w:val="none" w:sz="0" w:space="0" w:color="auto"/>
          </w:divBdr>
          <w:divsChild>
            <w:div w:id="878051580">
              <w:marLeft w:val="0"/>
              <w:marRight w:val="0"/>
              <w:marTop w:val="0"/>
              <w:marBottom w:val="0"/>
              <w:divBdr>
                <w:top w:val="none" w:sz="0" w:space="0" w:color="auto"/>
                <w:left w:val="none" w:sz="0" w:space="0" w:color="auto"/>
                <w:bottom w:val="none" w:sz="0" w:space="0" w:color="auto"/>
                <w:right w:val="none" w:sz="0" w:space="0" w:color="auto"/>
              </w:divBdr>
              <w:divsChild>
                <w:div w:id="1965841075">
                  <w:marLeft w:val="0"/>
                  <w:marRight w:val="0"/>
                  <w:marTop w:val="0"/>
                  <w:marBottom w:val="0"/>
                  <w:divBdr>
                    <w:top w:val="none" w:sz="0" w:space="0" w:color="auto"/>
                    <w:left w:val="none" w:sz="0" w:space="0" w:color="auto"/>
                    <w:bottom w:val="none" w:sz="0" w:space="0" w:color="auto"/>
                    <w:right w:val="none" w:sz="0" w:space="0" w:color="auto"/>
                  </w:divBdr>
                  <w:divsChild>
                    <w:div w:id="1432434551">
                      <w:marLeft w:val="0"/>
                      <w:marRight w:val="0"/>
                      <w:marTop w:val="0"/>
                      <w:marBottom w:val="0"/>
                      <w:divBdr>
                        <w:top w:val="none" w:sz="0" w:space="0" w:color="auto"/>
                        <w:left w:val="none" w:sz="0" w:space="0" w:color="auto"/>
                        <w:bottom w:val="none" w:sz="0" w:space="0" w:color="auto"/>
                        <w:right w:val="none" w:sz="0" w:space="0" w:color="auto"/>
                      </w:divBdr>
                      <w:divsChild>
                        <w:div w:id="1013343935">
                          <w:marLeft w:val="0"/>
                          <w:marRight w:val="-14250"/>
                          <w:marTop w:val="0"/>
                          <w:marBottom w:val="240"/>
                          <w:divBdr>
                            <w:top w:val="none" w:sz="0" w:space="0" w:color="auto"/>
                            <w:left w:val="none" w:sz="0" w:space="0" w:color="auto"/>
                            <w:bottom w:val="none" w:sz="0" w:space="0" w:color="auto"/>
                            <w:right w:val="none" w:sz="0" w:space="0" w:color="auto"/>
                          </w:divBdr>
                          <w:divsChild>
                            <w:div w:id="755130603">
                              <w:marLeft w:val="0"/>
                              <w:marRight w:val="0"/>
                              <w:marTop w:val="0"/>
                              <w:marBottom w:val="0"/>
                              <w:divBdr>
                                <w:top w:val="none" w:sz="0" w:space="0" w:color="auto"/>
                                <w:left w:val="none" w:sz="0" w:space="0" w:color="auto"/>
                                <w:bottom w:val="none" w:sz="0" w:space="0" w:color="auto"/>
                                <w:right w:val="none" w:sz="0" w:space="0" w:color="auto"/>
                              </w:divBdr>
                              <w:divsChild>
                                <w:div w:id="1481926120">
                                  <w:marLeft w:val="0"/>
                                  <w:marRight w:val="0"/>
                                  <w:marTop w:val="0"/>
                                  <w:marBottom w:val="0"/>
                                  <w:divBdr>
                                    <w:top w:val="none" w:sz="0" w:space="0" w:color="auto"/>
                                    <w:left w:val="none" w:sz="0" w:space="0" w:color="auto"/>
                                    <w:bottom w:val="none" w:sz="0" w:space="0" w:color="auto"/>
                                    <w:right w:val="none" w:sz="0" w:space="0" w:color="auto"/>
                                  </w:divBdr>
                                  <w:divsChild>
                                    <w:div w:id="1419248195">
                                      <w:marLeft w:val="0"/>
                                      <w:marRight w:val="0"/>
                                      <w:marTop w:val="0"/>
                                      <w:marBottom w:val="0"/>
                                      <w:divBdr>
                                        <w:top w:val="none" w:sz="0" w:space="0" w:color="auto"/>
                                        <w:left w:val="none" w:sz="0" w:space="0" w:color="auto"/>
                                        <w:bottom w:val="none" w:sz="0" w:space="0" w:color="auto"/>
                                        <w:right w:val="none" w:sz="0" w:space="0" w:color="auto"/>
                                      </w:divBdr>
                                      <w:divsChild>
                                        <w:div w:id="1704355275">
                                          <w:marLeft w:val="0"/>
                                          <w:marRight w:val="0"/>
                                          <w:marTop w:val="0"/>
                                          <w:marBottom w:val="0"/>
                                          <w:divBdr>
                                            <w:top w:val="none" w:sz="0" w:space="0" w:color="auto"/>
                                            <w:left w:val="none" w:sz="0" w:space="0" w:color="auto"/>
                                            <w:bottom w:val="none" w:sz="0" w:space="0" w:color="auto"/>
                                            <w:right w:val="none" w:sz="0" w:space="0" w:color="auto"/>
                                          </w:divBdr>
                                          <w:divsChild>
                                            <w:div w:id="8684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Jakeman</dc:creator>
  <cp:lastModifiedBy>Sharon McDowall</cp:lastModifiedBy>
  <cp:revision>2</cp:revision>
  <cp:lastPrinted>2016-06-13T09:20:00Z</cp:lastPrinted>
  <dcterms:created xsi:type="dcterms:W3CDTF">2016-07-14T08:16:00Z</dcterms:created>
  <dcterms:modified xsi:type="dcterms:W3CDTF">2016-07-14T08:16:00Z</dcterms:modified>
</cp:coreProperties>
</file>